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31" w:rsidRPr="00B35E2B" w:rsidRDefault="00B35E2B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МИНИСТЕРСТВО ЗДРАВООХРАНЕНИЯ РОССИЙСКОЙ ФЕДЕРАЦИИ</w:t>
      </w:r>
    </w:p>
    <w:p w:rsidR="00B35E2B" w:rsidRPr="00B35E2B" w:rsidRDefault="00B35E2B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 xml:space="preserve">ФЕДЕРАЛЬНОЕ ГОСУДАРСТВЕННОЕ БЮДЖЕТНОЕ </w:t>
      </w:r>
    </w:p>
    <w:p w:rsid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 xml:space="preserve">ОБРАЗОВАТЕЛЬНОЕ УЧРЕЖДЕНИЕ ВЫСШЕГО ОБРАЗОВАНИЯ 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>«РОССИЙСКИЙ НАЦИОНАЛЬНЫЙ ИССЛЕДОВАТЕЛЬСКИЙ МЕДИЦИНСКИЙ УНИВЕРСИТЕТ ИМЕНИ Н.И. ПИРОГОВА»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>МИНИСТЕРСТВА ЗДРАВООХРАНЕНИЯ РОССИЙСКОЙ ФЕДЕРАЦИИ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 xml:space="preserve">ОБОСОБЛЕННОЕ СТРУКТУРНОЕ ПОДРАЗДЕЛЕНИЕ 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  <w:r w:rsidRPr="00B35E2B">
        <w:rPr>
          <w:sz w:val="28"/>
          <w:szCs w:val="28"/>
        </w:rPr>
        <w:t>«РОССИЙСКИЙ ГЕРОНТОЛОГИЧЕСКИЙ НАУЧНО-КЛИНИЧЕСКИЙ ЦЕНТР»</w:t>
      </w:r>
    </w:p>
    <w:p w:rsidR="00B35E2B" w:rsidRPr="00B35E2B" w:rsidRDefault="00B35E2B" w:rsidP="00485877">
      <w:pPr>
        <w:pStyle w:val="11"/>
        <w:widowControl w:val="0"/>
        <w:spacing w:after="0" w:line="276" w:lineRule="auto"/>
        <w:ind w:left="0"/>
        <w:jc w:val="center"/>
        <w:rPr>
          <w:sz w:val="28"/>
          <w:szCs w:val="28"/>
        </w:rPr>
      </w:pPr>
    </w:p>
    <w:p w:rsidR="00B35E2B" w:rsidRPr="00B35E2B" w:rsidRDefault="00B35E2B" w:rsidP="0048587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2B">
        <w:rPr>
          <w:rFonts w:ascii="Times New Roman" w:eastAsia="Times New Roman" w:hAnsi="Times New Roman"/>
          <w:sz w:val="28"/>
          <w:szCs w:val="28"/>
          <w:lang w:eastAsia="ru-RU"/>
        </w:rPr>
        <w:t>РОССИЙСКАЯ АССОЦИАЦИЯ ГЕРОНТОЛОГОВ И ГЕРИАТРОВ</w:t>
      </w:r>
    </w:p>
    <w:p w:rsidR="00B35E2B" w:rsidRPr="00B35E2B" w:rsidRDefault="00B35E2B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33D7A" w:rsidRPr="00333D7A" w:rsidRDefault="00333D7A" w:rsidP="00333D7A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  <w:lang w:eastAsia="en-US"/>
        </w:rPr>
      </w:pPr>
      <w:r w:rsidRPr="00333D7A">
        <w:rPr>
          <w:rFonts w:ascii="Times New Roman" w:hAnsi="Times New Roman"/>
          <w:b/>
          <w:sz w:val="36"/>
          <w:szCs w:val="28"/>
          <w:lang w:eastAsia="en-US"/>
        </w:rPr>
        <w:t>ПРОФИЛАКТИКА ПРЕЖДЕВРЕМЕННОГО СТАРЕНИЯ У ЖЕНЩИН</w:t>
      </w:r>
    </w:p>
    <w:p w:rsidR="000F3231" w:rsidRPr="00B35E2B" w:rsidRDefault="000F3231" w:rsidP="001C01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E6148" w:rsidRPr="00333D7A" w:rsidRDefault="008E6148" w:rsidP="0048587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33D7A">
        <w:rPr>
          <w:rFonts w:ascii="Times New Roman" w:hAnsi="Times New Roman"/>
          <w:sz w:val="28"/>
          <w:szCs w:val="28"/>
          <w:lang w:eastAsia="en-US"/>
        </w:rPr>
        <w:t>МЕТОДИЧЕСКИЕ РЕКОМЕНДАЦИИ</w:t>
      </w:r>
    </w:p>
    <w:p w:rsidR="000F3231" w:rsidRPr="00333D7A" w:rsidRDefault="000F3231" w:rsidP="00485877">
      <w:pPr>
        <w:spacing w:after="0" w:line="360" w:lineRule="auto"/>
        <w:jc w:val="center"/>
        <w:rPr>
          <w:rFonts w:ascii="Times New Roman" w:hAnsi="Times New Roman"/>
          <w:sz w:val="32"/>
          <w:szCs w:val="28"/>
          <w:lang w:eastAsia="en-US"/>
        </w:rPr>
      </w:pPr>
    </w:p>
    <w:p w:rsidR="000F3231" w:rsidRPr="00B35E2B" w:rsidRDefault="000F3231" w:rsidP="0048587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48587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48587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35E2B" w:rsidRPr="00B35E2B" w:rsidRDefault="00333D7A" w:rsidP="00333D7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О.Н.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>Ткачева, Ю.Э.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Доброхотова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>, Е.Н.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>Дудинская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 w:rsidRPr="00B35E2B">
        <w:rPr>
          <w:rFonts w:ascii="Times New Roman" w:hAnsi="Times New Roman"/>
          <w:sz w:val="28"/>
          <w:szCs w:val="28"/>
          <w:lang w:eastAsia="en-US"/>
        </w:rPr>
        <w:t>Ю.В.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>Котовская, Н.К.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Рунихина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>, А.З.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B35E2B" w:rsidRPr="00B35E2B">
        <w:rPr>
          <w:rFonts w:ascii="Times New Roman" w:hAnsi="Times New Roman"/>
          <w:sz w:val="28"/>
          <w:szCs w:val="28"/>
          <w:lang w:eastAsia="en-US"/>
        </w:rPr>
        <w:t>Хашукоева</w:t>
      </w:r>
      <w:proofErr w:type="spellEnd"/>
      <w:r w:rsidR="00B35E2B"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B35E2B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Default="000F3231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F3231" w:rsidRPr="00333D7A" w:rsidRDefault="000F3231" w:rsidP="00E37BDE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333D7A" w:rsidRPr="00B35E2B" w:rsidRDefault="00333D7A" w:rsidP="00333D7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Москва</w:t>
      </w:r>
      <w:r w:rsidR="00B42C2D">
        <w:rPr>
          <w:rFonts w:ascii="Times New Roman" w:hAnsi="Times New Roman"/>
          <w:sz w:val="28"/>
          <w:szCs w:val="28"/>
          <w:lang w:eastAsia="en-US"/>
        </w:rPr>
        <w:t xml:space="preserve"> 2018</w:t>
      </w:r>
    </w:p>
    <w:p w:rsidR="008E6148" w:rsidRPr="00B35E2B" w:rsidRDefault="008E6148" w:rsidP="00333D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lastRenderedPageBreak/>
        <w:t>Коллектив авторов: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д.м.н., профессор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О.Н.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5E2B">
        <w:rPr>
          <w:rFonts w:ascii="Times New Roman" w:hAnsi="Times New Roman"/>
          <w:sz w:val="28"/>
          <w:szCs w:val="28"/>
          <w:lang w:eastAsia="en-US"/>
        </w:rPr>
        <w:t xml:space="preserve">Ткачева, 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д.м.н., профессор            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Ю.Э.</w:t>
      </w:r>
      <w:r w:rsidR="00333D7A" w:rsidRP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333D7A" w:rsidRPr="00B35E2B">
        <w:rPr>
          <w:rFonts w:ascii="Times New Roman" w:hAnsi="Times New Roman"/>
          <w:sz w:val="28"/>
          <w:szCs w:val="28"/>
          <w:lang w:eastAsia="en-US"/>
        </w:rPr>
        <w:t>Доброхотова</w:t>
      </w:r>
      <w:proofErr w:type="spellEnd"/>
      <w:r w:rsidR="004F41F0">
        <w:rPr>
          <w:rFonts w:ascii="Times New Roman" w:hAnsi="Times New Roman"/>
          <w:sz w:val="28"/>
          <w:szCs w:val="28"/>
          <w:lang w:eastAsia="en-US"/>
        </w:rPr>
        <w:t>, к.м.н.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>
        <w:rPr>
          <w:rFonts w:ascii="Times New Roman" w:hAnsi="Times New Roman"/>
          <w:sz w:val="28"/>
          <w:szCs w:val="28"/>
          <w:lang w:eastAsia="en-US"/>
        </w:rPr>
        <w:t>Дудинская Е.Н., д.м.н., профессор</w:t>
      </w:r>
      <w:r w:rsidR="00333D7A" w:rsidRP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Ю.В.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Котовская, </w:t>
      </w:r>
      <w:r w:rsidR="004F41F0">
        <w:rPr>
          <w:rFonts w:ascii="Times New Roman" w:hAnsi="Times New Roman"/>
          <w:sz w:val="28"/>
          <w:szCs w:val="28"/>
          <w:lang w:eastAsia="en-US"/>
        </w:rPr>
        <w:t>д.м.н.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>Н.К.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Рунихина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>,</w:t>
      </w:r>
      <w:r w:rsidR="00333D7A" w:rsidRPr="00333D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3D7A">
        <w:rPr>
          <w:rFonts w:ascii="Times New Roman" w:hAnsi="Times New Roman"/>
          <w:sz w:val="28"/>
          <w:szCs w:val="28"/>
          <w:lang w:eastAsia="en-US"/>
        </w:rPr>
        <w:t>д.м.н.</w:t>
      </w:r>
      <w:r w:rsidR="000A417A">
        <w:rPr>
          <w:rFonts w:ascii="Times New Roman" w:hAnsi="Times New Roman"/>
          <w:sz w:val="28"/>
          <w:szCs w:val="28"/>
          <w:lang w:eastAsia="en-US"/>
        </w:rPr>
        <w:t>,</w:t>
      </w:r>
      <w:r w:rsidR="00333D7A">
        <w:rPr>
          <w:rFonts w:ascii="Times New Roman" w:hAnsi="Times New Roman"/>
          <w:sz w:val="28"/>
          <w:szCs w:val="28"/>
          <w:lang w:eastAsia="en-US"/>
        </w:rPr>
        <w:t xml:space="preserve"> профессор 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А.З. </w:t>
      </w:r>
      <w:proofErr w:type="spellStart"/>
      <w:r w:rsidR="00333D7A" w:rsidRPr="00B35E2B">
        <w:rPr>
          <w:rFonts w:ascii="Times New Roman" w:hAnsi="Times New Roman"/>
          <w:sz w:val="28"/>
          <w:szCs w:val="28"/>
          <w:lang w:eastAsia="en-US"/>
        </w:rPr>
        <w:t>Хашукоева</w:t>
      </w:r>
      <w:proofErr w:type="spellEnd"/>
      <w:r w:rsidR="00333D7A">
        <w:rPr>
          <w:rFonts w:ascii="Times New Roman" w:hAnsi="Times New Roman"/>
          <w:sz w:val="28"/>
          <w:szCs w:val="28"/>
          <w:lang w:eastAsia="en-US"/>
        </w:rPr>
        <w:t>.</w:t>
      </w:r>
      <w:r w:rsidR="00333D7A" w:rsidRPr="00B35E2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End"/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Методические рекомендации содержат материалы по основам профилактики преждевременного старения у женщин в периоды пред-, пер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и-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 постменопаузы. Рассмотрены практические аспекты ведения пациенток с менопаузальным синдромом, его осложнениями, остеопорозом, недержанием мочи, депрессией. Приведены рекомендации по медикаментозной и немедикаментозной терапии менопаузального синдрома с учетом вопроса профилактики преждевременного старения. </w:t>
      </w:r>
    </w:p>
    <w:p w:rsidR="008E6148" w:rsidRDefault="008E6148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Методические рекомендации предназначены для врачей общей практики, терапевтов, гериатров, семейный врачей, гинекологов, эндокринологов.</w:t>
      </w: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8E6148" w:rsidRDefault="008E6148" w:rsidP="00485877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85877" w:rsidRDefault="00485877" w:rsidP="00485877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85877" w:rsidRPr="00333D7A" w:rsidRDefault="00485877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37BDE" w:rsidRDefault="00E37BDE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F41F0" w:rsidRPr="00333D7A" w:rsidRDefault="004F41F0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F41F0" w:rsidRPr="004F41F0" w:rsidRDefault="00CE4644" w:rsidP="004F41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7891">
        <w:rPr>
          <w:rFonts w:ascii="Times New Roman" w:hAnsi="Times New Roman"/>
          <w:b/>
          <w:sz w:val="28"/>
          <w:szCs w:val="28"/>
          <w:lang w:eastAsia="en-US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7891">
              <w:rPr>
                <w:rFonts w:ascii="Times New Roman" w:hAnsi="Times New Roman"/>
                <w:sz w:val="28"/>
                <w:szCs w:val="28"/>
                <w:lang w:eastAsia="en-US"/>
              </w:rPr>
              <w:t>Список сокращений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F41F0">
            <w:pPr>
              <w:pStyle w:val="a4"/>
              <w:rPr>
                <w:sz w:val="28"/>
              </w:rPr>
            </w:pPr>
            <w:r w:rsidRPr="004F41F0">
              <w:rPr>
                <w:sz w:val="28"/>
              </w:rPr>
              <w:t>Синдром преждевременного старения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F41F0">
            <w:pPr>
              <w:pStyle w:val="a4"/>
            </w:pPr>
            <w:r w:rsidRPr="004F41F0">
              <w:rPr>
                <w:sz w:val="28"/>
              </w:rPr>
              <w:t>Диаг</w:t>
            </w:r>
            <w:r w:rsidRPr="004F41F0">
              <w:rPr>
                <w:sz w:val="28"/>
              </w:rPr>
              <w:t>ностика менопаузального статуса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F41F0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Принципы назначения меноп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аузальной гормональной терапии 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жизни и альтернативная терапия 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891">
              <w:rPr>
                <w:rFonts w:ascii="Times New Roman" w:hAnsi="Times New Roman"/>
                <w:sz w:val="28"/>
                <w:szCs w:val="28"/>
              </w:rPr>
              <w:t xml:space="preserve">Сердечно-сосудистые заболевания </w:t>
            </w:r>
            <w:r>
              <w:rPr>
                <w:rFonts w:ascii="Times New Roman" w:hAnsi="Times New Roman"/>
                <w:sz w:val="28"/>
                <w:szCs w:val="28"/>
              </w:rPr>
              <w:t>у женщин в 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постменопаузе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8587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891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теопороз у женщин старше 40 лет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Генитоуринарный</w:t>
            </w:r>
            <w:proofErr w:type="spellEnd"/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синдром в менопаузе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4F41F0" w:rsidTr="004F41F0">
        <w:tc>
          <w:tcPr>
            <w:tcW w:w="9039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Сексуальная дисфункция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F41F0" w:rsidTr="004F41F0">
        <w:tc>
          <w:tcPr>
            <w:tcW w:w="9039" w:type="dxa"/>
          </w:tcPr>
          <w:p w:rsidR="004F41F0" w:rsidRPr="004F41F0" w:rsidRDefault="004F41F0" w:rsidP="004F41F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532" w:type="dxa"/>
          </w:tcPr>
          <w:p w:rsidR="004F41F0" w:rsidRDefault="004F41F0" w:rsidP="004858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3E7891" w:rsidRPr="003E7891" w:rsidRDefault="003E7891" w:rsidP="0048587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7891" w:rsidRPr="00B35E2B" w:rsidRDefault="003E7891" w:rsidP="003E7891">
      <w:p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8E6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1C017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E6148" w:rsidRDefault="008E6148" w:rsidP="00A610D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8E6148" w:rsidRPr="00DF41E3" w:rsidRDefault="00CE4644" w:rsidP="004F41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F41E3">
        <w:rPr>
          <w:rFonts w:ascii="Times New Roman" w:hAnsi="Times New Roman"/>
          <w:b/>
          <w:sz w:val="28"/>
          <w:szCs w:val="28"/>
          <w:lang w:eastAsia="en-US"/>
        </w:rPr>
        <w:lastRenderedPageBreak/>
        <w:t>СПИСОК СОКРАЩЕНИЙ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35E2B">
        <w:rPr>
          <w:rFonts w:ascii="Times New Roman" w:hAnsi="Times New Roman"/>
          <w:sz w:val="28"/>
          <w:szCs w:val="28"/>
          <w:lang w:val="en-US"/>
        </w:rPr>
        <w:t>Ca</w:t>
      </w:r>
      <w:r w:rsidRPr="00B35E2B">
        <w:rPr>
          <w:rFonts w:ascii="Times New Roman" w:hAnsi="Times New Roman"/>
          <w:sz w:val="28"/>
          <w:szCs w:val="28"/>
          <w:vertAlign w:val="superscript"/>
        </w:rPr>
        <w:t>++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44F0B">
        <w:rPr>
          <w:rFonts w:ascii="Times New Roman" w:hAnsi="Times New Roman"/>
          <w:sz w:val="28"/>
          <w:szCs w:val="28"/>
        </w:rPr>
        <w:t xml:space="preserve"> кальций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F0B">
        <w:rPr>
          <w:rFonts w:ascii="Times New Roman" w:hAnsi="Times New Roman"/>
          <w:sz w:val="28"/>
          <w:szCs w:val="28"/>
        </w:rPr>
        <w:t>ионизированный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35E2B">
        <w:rPr>
          <w:rFonts w:ascii="Times New Roman" w:hAnsi="Times New Roman"/>
          <w:sz w:val="28"/>
          <w:szCs w:val="28"/>
          <w:lang w:val="en-US"/>
        </w:rPr>
        <w:t>K</w:t>
      </w:r>
      <w:r w:rsidRPr="00544F0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–</w:t>
      </w:r>
      <w:r w:rsidRPr="00544F0B">
        <w:rPr>
          <w:rFonts w:ascii="Times New Roman" w:hAnsi="Times New Roman"/>
          <w:sz w:val="28"/>
          <w:szCs w:val="28"/>
        </w:rPr>
        <w:t xml:space="preserve"> калий</w:t>
      </w:r>
    </w:p>
    <w:p w:rsidR="00544F0B" w:rsidRPr="00433290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B35E2B">
        <w:rPr>
          <w:rFonts w:ascii="Times New Roman" w:hAnsi="Times New Roman"/>
          <w:sz w:val="28"/>
          <w:szCs w:val="28"/>
          <w:lang w:val="en-US"/>
        </w:rPr>
        <w:t>g</w:t>
      </w:r>
      <w:r w:rsidRPr="00433290">
        <w:rPr>
          <w:rFonts w:ascii="Times New Roman" w:hAnsi="Times New Roman"/>
          <w:sz w:val="28"/>
          <w:szCs w:val="28"/>
          <w:vertAlign w:val="superscript"/>
        </w:rPr>
        <w:t>++</w:t>
      </w:r>
      <w:r w:rsidRPr="00433290">
        <w:rPr>
          <w:rFonts w:ascii="Times New Roman" w:hAnsi="Times New Roman"/>
          <w:sz w:val="28"/>
          <w:szCs w:val="28"/>
        </w:rPr>
        <w:t xml:space="preserve"> – </w:t>
      </w:r>
      <w:r w:rsidRPr="00544F0B">
        <w:rPr>
          <w:rFonts w:ascii="Times New Roman" w:hAnsi="Times New Roman"/>
          <w:sz w:val="28"/>
          <w:szCs w:val="28"/>
        </w:rPr>
        <w:t>магний</w:t>
      </w:r>
      <w:r w:rsidRPr="00433290">
        <w:rPr>
          <w:rFonts w:ascii="Times New Roman" w:hAnsi="Times New Roman"/>
          <w:sz w:val="28"/>
          <w:szCs w:val="28"/>
        </w:rPr>
        <w:t xml:space="preserve"> </w:t>
      </w:r>
    </w:p>
    <w:p w:rsidR="00544F0B" w:rsidRP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B35E2B">
        <w:rPr>
          <w:rFonts w:ascii="Times New Roman" w:hAnsi="Times New Roman"/>
          <w:sz w:val="28"/>
          <w:szCs w:val="28"/>
          <w:lang w:val="en-US"/>
        </w:rPr>
        <w:t>Na</w:t>
      </w:r>
      <w:r w:rsidRPr="00544F0B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544F0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544F0B">
        <w:rPr>
          <w:rFonts w:ascii="Times New Roman" w:hAnsi="Times New Roman"/>
          <w:sz w:val="28"/>
          <w:szCs w:val="28"/>
        </w:rPr>
        <w:t>натрий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STRAW – Stages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Reproductive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Aging</w:t>
      </w:r>
      <w:r w:rsidRPr="000B46C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2B66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Workshop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 – артериальное давление</w:t>
      </w:r>
    </w:p>
    <w:p w:rsidR="00544F0B" w:rsidRP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АМГ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ан</w:t>
      </w:r>
      <w:r w:rsidRPr="002B66E9">
        <w:rPr>
          <w:rFonts w:ascii="Times New Roman" w:hAnsi="Times New Roman"/>
          <w:sz w:val="28"/>
          <w:szCs w:val="28"/>
          <w:lang w:eastAsia="en-US"/>
        </w:rPr>
        <w:t>тимюллер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4F0B">
        <w:rPr>
          <w:rFonts w:ascii="Times New Roman" w:hAnsi="Times New Roman"/>
          <w:sz w:val="28"/>
          <w:szCs w:val="28"/>
          <w:lang w:eastAsia="en-US"/>
        </w:rPr>
        <w:t>гормон</w:t>
      </w:r>
    </w:p>
    <w:p w:rsidR="00544F0B" w:rsidRDefault="00544F0B" w:rsidP="0048587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атрофи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ВТЭ</w:t>
      </w:r>
      <w:r>
        <w:rPr>
          <w:rFonts w:ascii="Times New Roman" w:hAnsi="Times New Roman"/>
          <w:sz w:val="28"/>
          <w:szCs w:val="28"/>
          <w:lang w:eastAsia="en-US"/>
        </w:rPr>
        <w:t xml:space="preserve"> – венозная т</w:t>
      </w:r>
      <w:r w:rsidRPr="00B35E2B">
        <w:rPr>
          <w:rFonts w:ascii="Times New Roman" w:hAnsi="Times New Roman"/>
          <w:sz w:val="28"/>
          <w:szCs w:val="28"/>
          <w:lang w:eastAsia="en-US"/>
        </w:rPr>
        <w:t>ромбоэмболи</w:t>
      </w:r>
      <w:r>
        <w:rPr>
          <w:rFonts w:ascii="Times New Roman" w:hAnsi="Times New Roman"/>
          <w:sz w:val="28"/>
          <w:szCs w:val="28"/>
          <w:lang w:eastAsia="en-US"/>
        </w:rPr>
        <w:t>я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Е2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эстрадиол</w:t>
      </w:r>
      <w:proofErr w:type="spellEnd"/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B35E2B">
        <w:rPr>
          <w:rFonts w:ascii="Times New Roman" w:hAnsi="Times New Roman"/>
          <w:sz w:val="28"/>
          <w:szCs w:val="28"/>
          <w:lang w:eastAsia="en-US"/>
        </w:rPr>
        <w:t>БС</w:t>
      </w:r>
      <w:r>
        <w:rPr>
          <w:rFonts w:ascii="Times New Roman" w:hAnsi="Times New Roman"/>
          <w:sz w:val="28"/>
          <w:szCs w:val="28"/>
          <w:lang w:eastAsia="en-US"/>
        </w:rPr>
        <w:t xml:space="preserve"> – и</w:t>
      </w:r>
      <w:r w:rsidRPr="00B35E2B">
        <w:rPr>
          <w:rFonts w:ascii="Times New Roman" w:hAnsi="Times New Roman"/>
          <w:sz w:val="28"/>
          <w:szCs w:val="28"/>
          <w:lang w:eastAsia="en-US"/>
        </w:rPr>
        <w:t>шемическ</w:t>
      </w:r>
      <w:r>
        <w:rPr>
          <w:rFonts w:ascii="Times New Roman" w:hAnsi="Times New Roman"/>
          <w:sz w:val="28"/>
          <w:szCs w:val="28"/>
          <w:lang w:eastAsia="en-US"/>
        </w:rPr>
        <w:t xml:space="preserve">ая </w:t>
      </w:r>
      <w:r w:rsidRPr="00B35E2B">
        <w:rPr>
          <w:rFonts w:ascii="Times New Roman" w:hAnsi="Times New Roman"/>
          <w:sz w:val="28"/>
          <w:szCs w:val="28"/>
          <w:lang w:eastAsia="en-US"/>
        </w:rPr>
        <w:t>болезн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B35E2B">
        <w:rPr>
          <w:rFonts w:ascii="Times New Roman" w:hAnsi="Times New Roman"/>
          <w:sz w:val="28"/>
          <w:szCs w:val="28"/>
          <w:lang w:eastAsia="en-US"/>
        </w:rPr>
        <w:t xml:space="preserve"> сердца</w:t>
      </w:r>
    </w:p>
    <w:p w:rsidR="00544F0B" w:rsidRPr="00544F0B" w:rsidRDefault="00544F0B" w:rsidP="0048587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544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контрацептив 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ЛПВП-ХС –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холетсерин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липопротеидов высокой плотности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ЛПНП-ХС</w:t>
      </w:r>
      <w:r>
        <w:rPr>
          <w:rFonts w:ascii="Times New Roman" w:hAnsi="Times New Roman"/>
          <w:sz w:val="28"/>
          <w:szCs w:val="28"/>
          <w:lang w:eastAsia="en-US"/>
        </w:rPr>
        <w:t xml:space="preserve"> – холестерин липопротеидов низкой плотности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МГТ – менопаузальная гормональная терапия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ОХС</w:t>
      </w:r>
      <w:r>
        <w:rPr>
          <w:rFonts w:ascii="Times New Roman" w:hAnsi="Times New Roman"/>
          <w:sz w:val="28"/>
          <w:szCs w:val="28"/>
          <w:lang w:eastAsia="en-US"/>
        </w:rPr>
        <w:t xml:space="preserve"> – общий холестерин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ПТГ – паратиреоидный гормон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СНС – симпатическая нервная система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ССЗ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B35E2B">
        <w:rPr>
          <w:rFonts w:ascii="Times New Roman" w:hAnsi="Times New Roman"/>
          <w:sz w:val="28"/>
          <w:szCs w:val="28"/>
          <w:lang w:eastAsia="en-US"/>
        </w:rPr>
        <w:t>сердечно-сосудисты</w:t>
      </w:r>
      <w:r>
        <w:rPr>
          <w:rFonts w:ascii="Times New Roman" w:hAnsi="Times New Roman"/>
          <w:sz w:val="28"/>
          <w:szCs w:val="28"/>
          <w:lang w:eastAsia="en-US"/>
        </w:rPr>
        <w:t>е заболевания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ТТГ</w:t>
      </w:r>
      <w:r>
        <w:rPr>
          <w:rFonts w:ascii="Times New Roman" w:hAnsi="Times New Roman"/>
          <w:sz w:val="28"/>
          <w:szCs w:val="28"/>
          <w:lang w:eastAsia="en-US"/>
        </w:rPr>
        <w:t xml:space="preserve"> – тиреотропный гормон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УЗИ</w:t>
      </w:r>
      <w:r>
        <w:rPr>
          <w:rFonts w:ascii="Times New Roman" w:hAnsi="Times New Roman"/>
          <w:sz w:val="28"/>
          <w:szCs w:val="28"/>
          <w:lang w:eastAsia="en-US"/>
        </w:rPr>
        <w:t xml:space="preserve"> – ультразвуковое исследование</w:t>
      </w:r>
    </w:p>
    <w:p w:rsidR="00544F0B" w:rsidRPr="007B7C11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урогенитальны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B35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синдром менопаузы</w:t>
      </w:r>
    </w:p>
    <w:p w:rsidR="00544F0B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ФСГ</w:t>
      </w:r>
      <w:r>
        <w:rPr>
          <w:rFonts w:ascii="Times New Roman" w:hAnsi="Times New Roman"/>
          <w:sz w:val="28"/>
          <w:szCs w:val="28"/>
          <w:lang w:eastAsia="en-US"/>
        </w:rPr>
        <w:t xml:space="preserve"> – фолликулостимулирующий гормон</w:t>
      </w:r>
    </w:p>
    <w:p w:rsidR="00544F0B" w:rsidRPr="002B66E9" w:rsidRDefault="00544F0B" w:rsidP="004858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5E2B">
        <w:rPr>
          <w:rFonts w:ascii="Times New Roman" w:hAnsi="Times New Roman"/>
          <w:sz w:val="28"/>
          <w:szCs w:val="28"/>
          <w:lang w:eastAsia="en-US"/>
        </w:rPr>
        <w:t>ЧАФ</w:t>
      </w:r>
      <w:r>
        <w:rPr>
          <w:rFonts w:ascii="Times New Roman" w:hAnsi="Times New Roman"/>
          <w:sz w:val="28"/>
          <w:szCs w:val="28"/>
          <w:lang w:eastAsia="en-US"/>
        </w:rPr>
        <w:t xml:space="preserve"> – число </w:t>
      </w:r>
      <w:proofErr w:type="spellStart"/>
      <w:r w:rsidRPr="00B35E2B">
        <w:rPr>
          <w:rFonts w:ascii="Times New Roman" w:hAnsi="Times New Roman"/>
          <w:sz w:val="28"/>
          <w:szCs w:val="28"/>
          <w:lang w:eastAsia="en-US"/>
        </w:rPr>
        <w:t>антральных</w:t>
      </w:r>
      <w:proofErr w:type="spellEnd"/>
      <w:r w:rsidRPr="00B35E2B">
        <w:rPr>
          <w:rFonts w:ascii="Times New Roman" w:hAnsi="Times New Roman"/>
          <w:sz w:val="28"/>
          <w:szCs w:val="28"/>
          <w:lang w:eastAsia="en-US"/>
        </w:rPr>
        <w:t xml:space="preserve"> фолликулов</w:t>
      </w:r>
    </w:p>
    <w:p w:rsidR="00DF41E3" w:rsidRPr="002B66E9" w:rsidRDefault="00DF41E3" w:rsidP="000B46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41E3" w:rsidRPr="002B66E9" w:rsidRDefault="00DF41E3" w:rsidP="000B46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41E3" w:rsidRPr="002B66E9" w:rsidRDefault="00DF41E3" w:rsidP="000B46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41E3" w:rsidRDefault="00DF41E3" w:rsidP="00A610D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A610D4" w:rsidRPr="002B66E9" w:rsidRDefault="00A610D4" w:rsidP="00A610D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466C1F" w:rsidRPr="00366126" w:rsidRDefault="00466C1F" w:rsidP="001C0176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lastRenderedPageBreak/>
        <w:t>То, как мы будем стареть, зависит от нас!</w:t>
      </w:r>
    </w:p>
    <w:p w:rsidR="00466C1F" w:rsidRPr="00366126" w:rsidRDefault="00466C1F" w:rsidP="001C0176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«Вечерние часы жизни могут быть самыми прекрасными, подобно тому, как красивейшие лепестки цветка распускаются последними!»</w:t>
      </w:r>
    </w:p>
    <w:p w:rsidR="00466C1F" w:rsidRPr="00366126" w:rsidRDefault="00466C1F" w:rsidP="001C0176">
      <w:pPr>
        <w:spacing w:after="0" w:line="360" w:lineRule="auto"/>
        <w:ind w:firstLine="709"/>
        <w:jc w:val="right"/>
        <w:rPr>
          <w:rFonts w:ascii="Times New Roman" w:hAnsi="Times New Roman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Cs w:val="28"/>
          <w:lang w:eastAsia="en-US"/>
        </w:rPr>
        <w:t>Сэмюэль</w:t>
      </w:r>
      <w:proofErr w:type="spellEnd"/>
      <w:r w:rsidRPr="00366126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Cs w:val="28"/>
          <w:lang w:eastAsia="en-US"/>
        </w:rPr>
        <w:t>Смайлс</w:t>
      </w:r>
      <w:proofErr w:type="spellEnd"/>
      <w:r w:rsidRPr="00366126">
        <w:rPr>
          <w:rFonts w:ascii="Times New Roman" w:hAnsi="Times New Roman"/>
          <w:szCs w:val="28"/>
          <w:lang w:eastAsia="en-US"/>
        </w:rPr>
        <w:t>, шотландский писатель и реформатор</w:t>
      </w:r>
    </w:p>
    <w:p w:rsidR="00466C1F" w:rsidRPr="00366126" w:rsidRDefault="00466C1F" w:rsidP="001C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6C1F" w:rsidRPr="00366126" w:rsidRDefault="00E42A25" w:rsidP="004F41F0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sz w:val="28"/>
          <w:szCs w:val="28"/>
          <w:lang w:eastAsia="en-US"/>
        </w:rPr>
        <w:t>ВВЕДЕНИЕ</w:t>
      </w:r>
    </w:p>
    <w:p w:rsidR="00466C1F" w:rsidRPr="00366126" w:rsidRDefault="00DF41E3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В России, как и во всем мире наблюдается тенденция к увеличению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продолжительности жизни</w:t>
      </w:r>
      <w:r w:rsidRPr="00366126">
        <w:rPr>
          <w:rFonts w:ascii="Times New Roman" w:hAnsi="Times New Roman"/>
          <w:sz w:val="28"/>
          <w:szCs w:val="28"/>
          <w:lang w:eastAsia="en-US"/>
        </w:rPr>
        <w:t>. Так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, к 2025 году каждая вторая женщина </w:t>
      </w:r>
      <w:r w:rsidRPr="00366126">
        <w:rPr>
          <w:rFonts w:ascii="Times New Roman" w:hAnsi="Times New Roman"/>
          <w:sz w:val="28"/>
          <w:szCs w:val="28"/>
          <w:lang w:eastAsia="en-US"/>
        </w:rPr>
        <w:t>перешагнет 45-летний возрастной порог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 Общая численность женщин старше 50 лет на Земле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в настоящее время составляет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более 500 млн</w:t>
      </w:r>
      <w:r w:rsidR="00A610D4">
        <w:rPr>
          <w:rFonts w:ascii="Times New Roman" w:hAnsi="Times New Roman"/>
          <w:sz w:val="28"/>
          <w:szCs w:val="28"/>
          <w:lang w:eastAsia="en-US"/>
        </w:rPr>
        <w:t>.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, в России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около 30% всего населения составляют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женщин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ы в возрасте 40-69 лет (2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9 млн</w:t>
      </w:r>
      <w:r w:rsidR="00A610D4">
        <w:rPr>
          <w:rFonts w:ascii="Times New Roman" w:hAnsi="Times New Roman"/>
          <w:sz w:val="28"/>
          <w:szCs w:val="28"/>
          <w:lang w:eastAsia="en-US"/>
        </w:rPr>
        <w:t>.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Длительность постменопаузы составляет 30-40% от всей продолжительности жизни женщины и т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реть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 своей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жизни женщина проводит в состоянии эстрогенного дефицита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. Несмотря на большую по сравнению с мужчинами продолжительность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жизни женщин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эти «дополнительные» годы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,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к сожалению,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нередко омрачаются потерей здоровья и общего благополучия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485877">
        <w:rPr>
          <w:rFonts w:ascii="Times New Roman" w:hAnsi="Times New Roman"/>
          <w:sz w:val="28"/>
          <w:szCs w:val="28"/>
          <w:lang w:eastAsia="en-US"/>
        </w:rPr>
        <w:t>1, 2, 3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 Поэтому в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о многих странах мира усилия правительства, официальных органов здравоохранения, исследователей и практических врачей направлены на достижение одной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цели - здорового или успешного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старения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485877">
        <w:rPr>
          <w:rFonts w:ascii="Times New Roman" w:hAnsi="Times New Roman"/>
          <w:sz w:val="28"/>
          <w:szCs w:val="28"/>
          <w:lang w:eastAsia="en-US"/>
        </w:rPr>
        <w:t>1, 4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E42A25" w:rsidRDefault="00466C1F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Согласно демографическим прогнозам, к 2030 году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более 1,2 млрд</w:t>
      </w:r>
      <w:r w:rsidR="00A610D4">
        <w:rPr>
          <w:rFonts w:ascii="Times New Roman" w:hAnsi="Times New Roman"/>
          <w:sz w:val="28"/>
          <w:szCs w:val="28"/>
          <w:lang w:eastAsia="en-US"/>
        </w:rPr>
        <w:t>.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 женщин вступят в период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менопаузы. В нашей стране, по сведениям статистических данных, более 39% граждан пенсионного возраста продолжают работать, из этого количества 50% - женщины порядка 55–59 лет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75693B" w:rsidRPr="00366126">
        <w:rPr>
          <w:rFonts w:ascii="Times New Roman" w:hAnsi="Times New Roman"/>
          <w:sz w:val="28"/>
          <w:szCs w:val="28"/>
          <w:lang w:eastAsia="en-US"/>
        </w:rPr>
        <w:t>1, 5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>Менопауза или к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лимактерий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(климакс)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E42A25" w:rsidRPr="00366126">
        <w:rPr>
          <w:rFonts w:ascii="Times New Roman" w:hAnsi="Times New Roman"/>
          <w:sz w:val="28"/>
          <w:szCs w:val="28"/>
          <w:lang w:eastAsia="en-US"/>
        </w:rPr>
        <w:t xml:space="preserve">это </w:t>
      </w:r>
      <w:r w:rsidR="00E42A25" w:rsidRPr="00366126">
        <w:rPr>
          <w:rFonts w:ascii="Times New Roman" w:hAnsi="Times New Roman"/>
          <w:sz w:val="28"/>
          <w:szCs w:val="28"/>
        </w:rPr>
        <w:t xml:space="preserve">преддверие старости, но не сама старость, а </w:t>
      </w:r>
      <w:r w:rsidRPr="00366126">
        <w:rPr>
          <w:rFonts w:ascii="Times New Roman" w:hAnsi="Times New Roman"/>
          <w:sz w:val="28"/>
          <w:szCs w:val="28"/>
          <w:lang w:eastAsia="en-US"/>
        </w:rPr>
        <w:t>закономерный физиологический процесс, который невозможно остановить, однако необходимо помочь женщине чувствовать себя уверенно и комфортно в любой ситуации.</w:t>
      </w:r>
    </w:p>
    <w:p w:rsidR="00A610D4" w:rsidRDefault="00A610D4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10D4" w:rsidRPr="00366126" w:rsidRDefault="00A610D4" w:rsidP="00485877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A25" w:rsidRPr="00366126" w:rsidRDefault="00E42A25" w:rsidP="00CE4644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sz w:val="28"/>
          <w:szCs w:val="28"/>
          <w:lang w:eastAsia="en-US"/>
        </w:rPr>
        <w:lastRenderedPageBreak/>
        <w:t>СИНДРОМ ПРЕЖДЕВРЕМЕННОГО СТАРЕНИЯ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Особенностью функционирования репродуктивной системы является ее постепенное прижизненное угасание: с 35 лет – репродуктивной, с 45–50 – менструальной и гормональной функций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75693B" w:rsidRPr="00366126">
        <w:rPr>
          <w:rFonts w:ascii="Times New Roman" w:hAnsi="Times New Roman"/>
          <w:sz w:val="28"/>
          <w:szCs w:val="28"/>
          <w:lang w:eastAsia="en-US"/>
        </w:rPr>
        <w:t>4, 5, 6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Наиболее актуальным направлением в современной медицине является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своевременное выявление и лечение синдрома преждевременного старения у женщин. </w:t>
      </w:r>
      <w:r w:rsidR="00E42A25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Различают физиологическое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преждевременное старение. 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Физиологическое старение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как естественное начало и постепенное развитие инволюционных (возрастных) изменений, ограничивающих способность организма к адаптации к окружающей среде.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Преждевременное старение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наиболее часто встречающаяся форма старения людей в возрасте после 40-50 лет, которая </w:t>
      </w:r>
      <w:r w:rsidR="002B66E9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проявляется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частичным или общим ускорением темпа старения, приводящее к тому, что человек «опережает» средний уровень старения своей возрастной группы. Совокупность патологических изменений, характерных для описываемого феномена, получил название </w:t>
      </w: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синдрома преждевременного старения.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 преждевременного старения является новым междисциплинарным направлением медицинской науки и практики, основанным на подходах доказательной медицины и включает в себя индивидуализированное раннее выявление, профилактику, лечение и реабилитацию клинических состояний и заболеваний, ассоциированных с возрастом.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Старение организма и репродуктивной системы — генетически запрограммированный процесс, в результате которого происходит физиологическое ослабление механизмов регуляции, постепенно прекращается координация физиологических процессов, ослабевают компенсаторные реакции.</w:t>
      </w:r>
    </w:p>
    <w:p w:rsidR="00466C1F" w:rsidRPr="00366126" w:rsidRDefault="00466C1F" w:rsidP="00366126">
      <w:pPr>
        <w:shd w:val="clear" w:color="auto" w:fill="FFFFFF"/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Продолжительность жизни женщины тесно связана с ее репродуктивным здоровьем. К факторам женского здоровья, предположительно оказывающим влияние на продолжительность жизни, </w:t>
      </w: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относят возраст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менархе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, количество беременностей, их течение, количество родов, искусственных и самопроизвольных абортов, менопаузу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485877">
        <w:rPr>
          <w:rFonts w:ascii="Times New Roman" w:hAnsi="Times New Roman"/>
          <w:sz w:val="28"/>
          <w:szCs w:val="28"/>
          <w:lang w:eastAsia="en-US"/>
        </w:rPr>
        <w:t>1, 6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Клинико-гормональная характеристика этапов старения репродуктивной системы представлена в результатах 10-летних крупных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когортных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исследований (STRAW+10 –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StagesofReproductiveAgingWorkshop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>(</w:t>
      </w:r>
      <w:r w:rsidR="00485877">
        <w:rPr>
          <w:rFonts w:ascii="Times New Roman" w:hAnsi="Times New Roman"/>
          <w:sz w:val="28"/>
          <w:szCs w:val="28"/>
          <w:lang w:eastAsia="en-US"/>
        </w:rPr>
        <w:t xml:space="preserve">Рис. </w:t>
      </w:r>
      <w:r w:rsidRPr="00366126">
        <w:rPr>
          <w:rFonts w:ascii="Times New Roman" w:hAnsi="Times New Roman"/>
          <w:sz w:val="28"/>
          <w:szCs w:val="28"/>
          <w:lang w:eastAsia="en-US"/>
        </w:rPr>
        <w:t>1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466C1F" w:rsidP="00366126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Для определения трех основных стадий (репродуктивный период, менопаузальный переход и постменопауза) используются стандартные термины, каждый из которых далее подразделяется на ранний, расцвет (только репродуктивный период) и поздний этапы. В общей сложности существует всего десять отдельных ст</w:t>
      </w:r>
      <w:r w:rsidR="00485877">
        <w:rPr>
          <w:rFonts w:ascii="Times New Roman" w:hAnsi="Times New Roman"/>
          <w:sz w:val="28"/>
          <w:szCs w:val="28"/>
          <w:lang w:eastAsia="en-US"/>
        </w:rPr>
        <w:t>адий, обозначенных от -5 до +2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75693B" w:rsidRPr="00366126">
        <w:rPr>
          <w:rFonts w:ascii="Times New Roman" w:hAnsi="Times New Roman"/>
          <w:sz w:val="28"/>
          <w:szCs w:val="28"/>
          <w:lang w:eastAsia="en-US"/>
        </w:rPr>
        <w:t>6, 7</w:t>
      </w:r>
      <w:r w:rsidR="001A717A" w:rsidRPr="00366126">
        <w:rPr>
          <w:rFonts w:ascii="Times New Roman" w:hAnsi="Times New Roman"/>
          <w:sz w:val="28"/>
          <w:szCs w:val="28"/>
          <w:lang w:eastAsia="en-US"/>
        </w:rPr>
        <w:t>, 8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466C1F" w:rsidRPr="00366126" w:rsidRDefault="00466C1F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Разработаны четко очерченные критерии   STRAW+10, которые выделяют:</w:t>
      </w:r>
    </w:p>
    <w:p w:rsidR="002B66E9" w:rsidRPr="00366126" w:rsidRDefault="00466C1F" w:rsidP="0036612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Поздний репродуктивный период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который</w:t>
      </w:r>
      <w:r w:rsidR="002B66E9"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подразделяется</w:t>
      </w:r>
      <w:r w:rsidR="00A610D4">
        <w:rPr>
          <w:rFonts w:ascii="Times New Roman" w:hAnsi="Times New Roman"/>
          <w:sz w:val="28"/>
          <w:szCs w:val="28"/>
          <w:lang w:eastAsia="en-US"/>
        </w:rPr>
        <w:t xml:space="preserve"> на 2 стадии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>(-3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b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-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3а), в рамках которых выявляются низкие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 xml:space="preserve">значения </w:t>
      </w:r>
      <w:proofErr w:type="spellStart"/>
      <w:r w:rsidR="002B66E9" w:rsidRPr="00366126">
        <w:rPr>
          <w:rFonts w:ascii="Times New Roman" w:hAnsi="Times New Roman"/>
          <w:sz w:val="28"/>
          <w:szCs w:val="28"/>
          <w:lang w:eastAsia="en-US"/>
        </w:rPr>
        <w:t>антимюллерового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гормона (АМГ) и, возможно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ингибина</w:t>
      </w:r>
      <w:proofErr w:type="spellEnd"/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 xml:space="preserve"> В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и числа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антральных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фолликулов (ЧАФ). </w:t>
      </w:r>
    </w:p>
    <w:p w:rsidR="002B66E9" w:rsidRPr="00366126" w:rsidRDefault="002B66E9" w:rsidP="0036612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-</w:t>
      </w:r>
      <w:r w:rsidR="00466C1F" w:rsidRPr="00366126">
        <w:rPr>
          <w:rFonts w:ascii="Times New Roman" w:hAnsi="Times New Roman"/>
          <w:i/>
          <w:sz w:val="28"/>
          <w:szCs w:val="28"/>
          <w:lang w:eastAsia="en-US"/>
        </w:rPr>
        <w:t>3б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>характеризуется регулярными менструациями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и отсутствием выраженных колебаний уровня </w:t>
      </w:r>
      <w:r w:rsidRPr="00366126">
        <w:rPr>
          <w:rFonts w:ascii="Times New Roman" w:hAnsi="Times New Roman"/>
          <w:sz w:val="28"/>
          <w:szCs w:val="28"/>
          <w:lang w:eastAsia="en-US"/>
        </w:rPr>
        <w:t>фолликулостимулирующего гормона (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ФСГ</w:t>
      </w:r>
      <w:r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в ранней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фолликулиновой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фазе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2B66E9" w:rsidP="00366126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</w:t>
      </w:r>
      <w:r w:rsidR="00466C1F" w:rsidRPr="00366126">
        <w:rPr>
          <w:rFonts w:ascii="Times New Roman" w:hAnsi="Times New Roman"/>
          <w:i/>
          <w:sz w:val="28"/>
          <w:szCs w:val="28"/>
          <w:lang w:eastAsia="en-US"/>
        </w:rPr>
        <w:t>тадия -3а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проявляется незначительными изменениями характера менструальных циклов (чаще – укорочение цикла) на фоне </w:t>
      </w:r>
      <w:r w:rsidRPr="00366126">
        <w:rPr>
          <w:rFonts w:ascii="Times New Roman" w:hAnsi="Times New Roman"/>
          <w:sz w:val="28"/>
          <w:szCs w:val="28"/>
          <w:lang w:eastAsia="en-US"/>
        </w:rPr>
        <w:t>повышения 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более выраженной вариабельности уровня ФСГ.</w:t>
      </w:r>
    </w:p>
    <w:p w:rsidR="002B66E9" w:rsidRPr="00366126" w:rsidRDefault="00466C1F" w:rsidP="0036612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Переходный период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(переход к менопаузе), вне зависимости от </w:t>
      </w:r>
      <w:r w:rsidR="00366126" w:rsidRPr="00366126">
        <w:rPr>
          <w:rFonts w:ascii="Times New Roman" w:hAnsi="Times New Roman"/>
          <w:sz w:val="28"/>
          <w:szCs w:val="28"/>
          <w:lang w:eastAsia="en-US"/>
        </w:rPr>
        <w:t>возраста женщины, определяется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с момента увеличения вариабельности менструальных циклов, когда самые длинные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и самые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короткие циклы отличаются по своей продолжительности на 7 дней. </w:t>
      </w:r>
    </w:p>
    <w:p w:rsidR="002B66E9" w:rsidRPr="00366126" w:rsidRDefault="00466C1F" w:rsidP="00366126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Ранняя стадия переходного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 xml:space="preserve">периода </w:t>
      </w:r>
      <w:r w:rsidR="002B66E9" w:rsidRPr="00366126">
        <w:rPr>
          <w:rFonts w:ascii="Times New Roman" w:hAnsi="Times New Roman"/>
          <w:i/>
          <w:sz w:val="28"/>
          <w:szCs w:val="28"/>
          <w:lang w:eastAsia="en-US"/>
        </w:rPr>
        <w:t>(</w:t>
      </w: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-2)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66E9" w:rsidRPr="00366126">
        <w:rPr>
          <w:rFonts w:ascii="Times New Roman" w:hAnsi="Times New Roman"/>
          <w:sz w:val="28"/>
          <w:szCs w:val="28"/>
          <w:lang w:eastAsia="en-US"/>
        </w:rPr>
        <w:t>характеризуется колебанием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уровня ФСГ с тенденцией к его повышению в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фолликулиновой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фазе; </w:t>
      </w:r>
    </w:p>
    <w:p w:rsidR="00466C1F" w:rsidRPr="00366126" w:rsidRDefault="002B66E9" w:rsidP="00366126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>П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оявление периодов аменореи более 60 дней свидетельствует о наступлении поздней стадии переходного периода </w:t>
      </w:r>
      <w:r w:rsidR="00466C1F" w:rsidRPr="00366126">
        <w:rPr>
          <w:rFonts w:ascii="Times New Roman" w:hAnsi="Times New Roman"/>
          <w:i/>
          <w:sz w:val="28"/>
          <w:szCs w:val="28"/>
          <w:lang w:eastAsia="en-US"/>
        </w:rPr>
        <w:t>(стадия -1),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которая может продолжаться от 1-го года до 3-х лет и нередко сопровождается появлением первых вазомоторных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психологических, урогенитальных симптомов дефицита эстрогенов. </w:t>
      </w:r>
    </w:p>
    <w:p w:rsidR="00466C1F" w:rsidRPr="00366126" w:rsidRDefault="00466C1F" w:rsidP="0036612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Менопауза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стойкое прекращение менструаций, это последняя самостоятельная менструация, обусловленная возрастным снижением и «выключением» гормональной и репродуктивной функции яичников. Дата оценивается ретроспективно: спустя 12 месяцев отсутствия менструации. Выделяют преждевременную менопаузу (до 40 лет), раннюю (40-45 лет), своевременную (46-54 года) и позднюю (старше 55 лет). Начало менопаузы – это специфический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вестник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необходимости коррекции симптомов и благоприятной возможности проведения профилактической стратегии для улучшения качества и увеличения продолжительности жизни. </w:t>
      </w:r>
    </w:p>
    <w:p w:rsidR="00466C1F" w:rsidRPr="00366126" w:rsidRDefault="002B66E9" w:rsidP="0036612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Перименопауза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включает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переходный период и первый год постменопаузы.</w:t>
      </w:r>
    </w:p>
    <w:p w:rsidR="002B66E9" w:rsidRPr="00366126" w:rsidRDefault="002B66E9" w:rsidP="0036612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Постменопауза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подразделяется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на раннюю и позднюю стадии. Ранняя постменопауза длится в течение 5-8 </w:t>
      </w:r>
      <w:r w:rsidRPr="00366126">
        <w:rPr>
          <w:rFonts w:ascii="Times New Roman" w:hAnsi="Times New Roman"/>
          <w:sz w:val="28"/>
          <w:szCs w:val="28"/>
          <w:lang w:eastAsia="en-US"/>
        </w:rPr>
        <w:t>лет 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состоит из 3-х стадий (+1а, +1</w:t>
      </w:r>
      <w:r w:rsidR="00466C1F" w:rsidRPr="00366126">
        <w:rPr>
          <w:rFonts w:ascii="Times New Roman" w:hAnsi="Times New Roman"/>
          <w:sz w:val="28"/>
          <w:szCs w:val="28"/>
          <w:lang w:val="en-US" w:eastAsia="en-US"/>
        </w:rPr>
        <w:t>b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, +1с).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+1а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соответствует завершению 12-месячного периода аменореи, необходимого для подтверждения наступления менопаузы и означает также завершение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перименопаузы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+1</w:t>
      </w:r>
      <w:r w:rsidRPr="00366126">
        <w:rPr>
          <w:rFonts w:ascii="Times New Roman" w:hAnsi="Times New Roman"/>
          <w:i/>
          <w:sz w:val="28"/>
          <w:szCs w:val="28"/>
          <w:lang w:val="en-US" w:eastAsia="en-US"/>
        </w:rPr>
        <w:t>b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также длится 1 год и завершается в момент стабилизации уровня ФСГ и эстрадиола (Е2). В этот период вероятность появления вазомоторных симптомов резко возрастает или они усиливаются.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+1с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период стабилизации высокого содержания ФСГ и низкого уровня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2 и может продолжаться от 3-х до 6 лет. </w:t>
      </w:r>
    </w:p>
    <w:p w:rsidR="002B66E9" w:rsidRPr="00366126" w:rsidRDefault="00466C1F" w:rsidP="00366126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Поздняя постменопауза (</w:t>
      </w:r>
      <w:r w:rsidRPr="00366126">
        <w:rPr>
          <w:rFonts w:ascii="Times New Roman" w:hAnsi="Times New Roman"/>
          <w:i/>
          <w:sz w:val="28"/>
          <w:szCs w:val="28"/>
          <w:lang w:eastAsia="en-US"/>
        </w:rPr>
        <w:t>стадия +2),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характеризуется изменениями, связанными с соматическим старением и проявлениями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генитоуринарного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синдрома.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Вазомоторные симптомы менее выражены, но могут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персистировать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15% случаев длительное время. На первый план выходит соматическое старение.  </w:t>
      </w:r>
    </w:p>
    <w:p w:rsidR="00466C1F" w:rsidRPr="00366126" w:rsidRDefault="00466C1F" w:rsidP="0036612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366126">
        <w:rPr>
          <w:rFonts w:ascii="Times New Roman" w:hAnsi="Times New Roman"/>
          <w:sz w:val="28"/>
        </w:rPr>
        <w:t xml:space="preserve">Начиная с переходного периода в организме женщины возникают и манифестируют многие хронические заболевания, которые оказывают </w:t>
      </w:r>
      <w:proofErr w:type="gramStart"/>
      <w:r w:rsidRPr="00366126">
        <w:rPr>
          <w:rFonts w:ascii="Times New Roman" w:hAnsi="Times New Roman"/>
          <w:sz w:val="28"/>
        </w:rPr>
        <w:t>влияние</w:t>
      </w:r>
      <w:proofErr w:type="gramEnd"/>
      <w:r w:rsidRPr="00366126">
        <w:rPr>
          <w:rFonts w:ascii="Times New Roman" w:hAnsi="Times New Roman"/>
          <w:sz w:val="28"/>
        </w:rPr>
        <w:t xml:space="preserve"> как на качество, так и на продолжительность жизни: трудности в реализации репродуктивной функции, гормональный дисбаланс, увеличение количества гинекологических заболеваний, сердечно-сосудистые заболевания, остеопороз и </w:t>
      </w:r>
      <w:proofErr w:type="spellStart"/>
      <w:r w:rsidRPr="00366126">
        <w:rPr>
          <w:rFonts w:ascii="Times New Roman" w:hAnsi="Times New Roman"/>
          <w:sz w:val="28"/>
        </w:rPr>
        <w:t>остеоартроз</w:t>
      </w:r>
      <w:proofErr w:type="spellEnd"/>
      <w:r w:rsidRPr="00366126">
        <w:rPr>
          <w:rFonts w:ascii="Times New Roman" w:hAnsi="Times New Roman"/>
          <w:sz w:val="28"/>
        </w:rPr>
        <w:t>, избыточный вес, ожирение, снижение физической активности, увеличение риска онкологических заболеваний, урогенитальные нарушения, сексуальная дисфункция, снижение когнитивных функций, расстройство интеллекта, депрессия</w:t>
      </w:r>
      <w:r w:rsidR="00485877">
        <w:rPr>
          <w:rFonts w:ascii="Times New Roman" w:hAnsi="Times New Roman"/>
          <w:sz w:val="28"/>
        </w:rPr>
        <w:t xml:space="preserve"> </w:t>
      </w:r>
      <w:r w:rsidR="00485877" w:rsidRPr="00485877">
        <w:rPr>
          <w:rFonts w:ascii="Times New Roman" w:hAnsi="Times New Roman"/>
          <w:sz w:val="28"/>
        </w:rPr>
        <w:t>[</w:t>
      </w:r>
      <w:proofErr w:type="gramStart"/>
      <w:r w:rsidR="00485877">
        <w:rPr>
          <w:rFonts w:ascii="Times New Roman" w:hAnsi="Times New Roman"/>
          <w:sz w:val="28"/>
        </w:rPr>
        <w:t>8, 9, 10, 11</w:t>
      </w:r>
      <w:r w:rsidR="00485877" w:rsidRPr="00485877">
        <w:rPr>
          <w:rFonts w:ascii="Times New Roman" w:hAnsi="Times New Roman"/>
          <w:sz w:val="28"/>
        </w:rPr>
        <w:t>]</w:t>
      </w:r>
      <w:r w:rsidRPr="00366126">
        <w:rPr>
          <w:rFonts w:ascii="Times New Roman" w:hAnsi="Times New Roman"/>
          <w:sz w:val="28"/>
        </w:rPr>
        <w:t xml:space="preserve">. </w:t>
      </w:r>
      <w:proofErr w:type="gramEnd"/>
    </w:p>
    <w:p w:rsidR="00466C1F" w:rsidRPr="00366126" w:rsidRDefault="00466C1F" w:rsidP="00366126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366126">
        <w:rPr>
          <w:rFonts w:ascii="Times New Roman" w:hAnsi="Times New Roman"/>
          <w:sz w:val="28"/>
        </w:rPr>
        <w:t>Переходный период открывает возможности для профилактики заболеваний, сопровождающих данный период, что позволит улучшить качество жизни и повысить ее продолжительность.</w:t>
      </w:r>
    </w:p>
    <w:p w:rsidR="00466C1F" w:rsidRPr="00366126" w:rsidRDefault="00466C1F" w:rsidP="001C0176">
      <w:pPr>
        <w:numPr>
          <w:ilvl w:val="1"/>
          <w:numId w:val="0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</w:pPr>
    </w:p>
    <w:p w:rsidR="00466C1F" w:rsidRPr="00366126" w:rsidRDefault="00466C1F" w:rsidP="001C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466C1F" w:rsidRPr="00366126" w:rsidSect="00E37BDE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B66E9" w:rsidRPr="00366126" w:rsidRDefault="00466C1F" w:rsidP="001C0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36D74845" wp14:editId="7BFC511C">
            <wp:simplePos x="0" y="0"/>
            <wp:positionH relativeFrom="margin">
              <wp:posOffset>295275</wp:posOffset>
            </wp:positionH>
            <wp:positionV relativeFrom="margin">
              <wp:posOffset>-496570</wp:posOffset>
            </wp:positionV>
            <wp:extent cx="9429115" cy="5372100"/>
            <wp:effectExtent l="0" t="0" r="635" b="0"/>
            <wp:wrapTopAndBottom/>
            <wp:docPr id="1" name="Рисунок 1" descr="https://gynendo.ru/wp-content/uploads/2012/11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ynendo.ru/wp-content/uploads/2012/11/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1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66126">
        <w:rPr>
          <w:rFonts w:ascii="Times New Roman" w:hAnsi="Times New Roman"/>
          <w:bCs/>
          <w:sz w:val="28"/>
          <w:szCs w:val="28"/>
          <w:lang w:eastAsia="en-US"/>
        </w:rPr>
        <w:t xml:space="preserve">Рисунок 1.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Стадии старения репродуктивной системы женщин согласно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Stages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of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Reproductive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Aging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Workshop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+ 10. </w:t>
      </w:r>
    </w:p>
    <w:p w:rsidR="00466C1F" w:rsidRPr="00366126" w:rsidRDefault="00466C1F" w:rsidP="001C01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8"/>
          <w:lang w:val="en-US" w:eastAsia="en-US"/>
        </w:rPr>
        <w:sectPr w:rsidR="00466C1F" w:rsidRPr="00366126" w:rsidSect="00AA14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66126">
        <w:rPr>
          <w:rFonts w:ascii="Times New Roman" w:hAnsi="Times New Roman"/>
          <w:i/>
          <w:sz w:val="24"/>
          <w:szCs w:val="28"/>
          <w:lang w:eastAsia="en-US"/>
        </w:rPr>
        <w:t xml:space="preserve">ПМ - последняя менструация; ФСГ -фолликулостимулирующий гормон; АМГ - </w:t>
      </w:r>
      <w:proofErr w:type="spellStart"/>
      <w:r w:rsidRPr="00366126">
        <w:rPr>
          <w:rFonts w:ascii="Times New Roman" w:hAnsi="Times New Roman"/>
          <w:i/>
          <w:sz w:val="24"/>
          <w:szCs w:val="28"/>
          <w:lang w:eastAsia="en-US"/>
        </w:rPr>
        <w:t>антимюллеров</w:t>
      </w:r>
      <w:proofErr w:type="spellEnd"/>
      <w:r w:rsidRPr="00366126">
        <w:rPr>
          <w:rFonts w:ascii="Times New Roman" w:hAnsi="Times New Roman"/>
          <w:i/>
          <w:sz w:val="24"/>
          <w:szCs w:val="28"/>
          <w:lang w:eastAsia="en-US"/>
        </w:rPr>
        <w:t xml:space="preserve"> гормон. </w:t>
      </w:r>
      <w:r w:rsidR="002B66E9" w:rsidRPr="00366126">
        <w:rPr>
          <w:rFonts w:ascii="Times New Roman" w:hAnsi="Times New Roman"/>
          <w:i/>
          <w:sz w:val="24"/>
          <w:szCs w:val="28"/>
          <w:lang w:eastAsia="en-US"/>
        </w:rPr>
        <w:t>Из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 </w:t>
      </w:r>
      <w:r w:rsidRPr="00366126">
        <w:rPr>
          <w:rFonts w:ascii="Times New Roman" w:hAnsi="Times New Roman"/>
          <w:i/>
          <w:sz w:val="24"/>
          <w:szCs w:val="28"/>
          <w:lang w:eastAsia="en-US"/>
        </w:rPr>
        <w:t>публикаций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 Harlow SD, </w:t>
      </w:r>
      <w:proofErr w:type="spellStart"/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>Gass</w:t>
      </w:r>
      <w:proofErr w:type="spellEnd"/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 M, Hall JE, et al. Executive Summary: Stages of Reproductive Aging Workshop + 10: addressing the unfinished agenda of staging reproductive aging. Climacteric 2012;15:105-14;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Fertil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Steril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2012;97:843-51; </w:t>
      </w:r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J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.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Clin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Endocrinol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proofErr w:type="spellStart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>Metab</w:t>
      </w:r>
      <w:proofErr w:type="spellEnd"/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 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 xml:space="preserve">2012;97:1159-68; </w:t>
      </w:r>
      <w:r w:rsidRPr="00366126">
        <w:rPr>
          <w:rFonts w:ascii="Times New Roman" w:hAnsi="Times New Roman"/>
          <w:i/>
          <w:iCs/>
          <w:sz w:val="24"/>
          <w:szCs w:val="28"/>
          <w:lang w:val="en-US" w:eastAsia="en-US"/>
        </w:rPr>
        <w:t xml:space="preserve">Menopause 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>2012;19:387-95.</w:t>
      </w:r>
      <w:r w:rsidRPr="00366126">
        <w:rPr>
          <w:rFonts w:ascii="Times New Roman" w:hAnsi="Times New Roman"/>
          <w:i/>
          <w:sz w:val="24"/>
          <w:szCs w:val="28"/>
          <w:lang w:val="en-US" w:eastAsia="en-US"/>
        </w:rPr>
        <w:tab/>
      </w:r>
    </w:p>
    <w:p w:rsidR="00466C1F" w:rsidRPr="00366126" w:rsidRDefault="001A6D86" w:rsidP="00CE4644">
      <w:pPr>
        <w:numPr>
          <w:ilvl w:val="1"/>
          <w:numId w:val="0"/>
        </w:numPr>
        <w:spacing w:after="0" w:line="360" w:lineRule="auto"/>
        <w:jc w:val="center"/>
        <w:rPr>
          <w:rFonts w:ascii="Times New Roman" w:eastAsia="Times New Roman" w:hAnsi="Times New Roman"/>
          <w:b/>
          <w:spacing w:val="15"/>
          <w:sz w:val="28"/>
          <w:szCs w:val="28"/>
          <w:lang w:val="en-US" w:eastAsia="en-US"/>
        </w:rPr>
      </w:pP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  <w:lastRenderedPageBreak/>
        <w:t>ДИАГНОСТИКА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val="en-US" w:eastAsia="en-US"/>
        </w:rPr>
        <w:t xml:space="preserve"> 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  <w:t>МЕНОПАУЗАЛЬНОГО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val="en-US" w:eastAsia="en-US"/>
        </w:rPr>
        <w:t xml:space="preserve"> </w:t>
      </w:r>
      <w:r w:rsidRPr="00366126">
        <w:rPr>
          <w:rFonts w:ascii="Times New Roman" w:eastAsia="Times New Roman" w:hAnsi="Times New Roman"/>
          <w:b/>
          <w:spacing w:val="15"/>
          <w:sz w:val="28"/>
          <w:szCs w:val="28"/>
          <w:lang w:eastAsia="en-US"/>
        </w:rPr>
        <w:t>СТАТУСА</w:t>
      </w:r>
    </w:p>
    <w:p w:rsidR="00466C1F" w:rsidRPr="00366126" w:rsidRDefault="001A6D86" w:rsidP="00485877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Проявления климактерия у женщин довольно вариабельны.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Физиологическое течение климак</w:t>
      </w:r>
      <w:r w:rsidRPr="00366126">
        <w:rPr>
          <w:rFonts w:ascii="Times New Roman" w:hAnsi="Times New Roman"/>
          <w:sz w:val="28"/>
          <w:szCs w:val="28"/>
          <w:lang w:eastAsia="en-US"/>
        </w:rPr>
        <w:t>са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характеризуется нормальными адаптационными процессами и не сопровождается ухудшением общего состояния. Патологическое течение </w:t>
      </w:r>
      <w:r w:rsidRPr="00366126">
        <w:rPr>
          <w:rFonts w:ascii="Times New Roman" w:hAnsi="Times New Roman"/>
          <w:sz w:val="28"/>
          <w:szCs w:val="28"/>
          <w:lang w:eastAsia="en-US"/>
        </w:rPr>
        <w:t>менопаузы (у 26-48% женщин)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сопровождается сосудистыми, эндокринно-обменными и нейропсихическими нарушениями, что способствует развитию соматической патологии и значительно снижает качество жизни. Оно рассматривается как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мультифакторное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заболевание, в развитии которого ведущую роль играют нарушения вегетативной и гормональной регуляции, снижение адаптационных резервов гипоталамуса и недостаточная его приспособляемость к изменившимся условиям функционирования гипоталамо-гипофизарно-яичниковой системы 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[</w:t>
      </w:r>
      <w:r w:rsidR="001A717A" w:rsidRPr="00366126">
        <w:rPr>
          <w:rFonts w:ascii="Times New Roman" w:hAnsi="Times New Roman"/>
          <w:sz w:val="28"/>
          <w:szCs w:val="28"/>
          <w:lang w:eastAsia="en-US"/>
        </w:rPr>
        <w:t>1, 7, 8</w:t>
      </w:r>
      <w:r w:rsidR="00485877" w:rsidRPr="00485877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="00466C1F"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466C1F" w:rsidRPr="00366126" w:rsidRDefault="00466C1F" w:rsidP="00485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>менопаузальным расстройствам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относятся: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Вазомоторные </w:t>
      </w:r>
      <w:r w:rsidR="001A6D86" w:rsidRPr="00366126">
        <w:rPr>
          <w:rFonts w:ascii="Times New Roman" w:hAnsi="Times New Roman"/>
          <w:b/>
          <w:i/>
          <w:sz w:val="28"/>
          <w:szCs w:val="28"/>
          <w:lang w:eastAsia="en-US"/>
        </w:rPr>
        <w:t>симптомы: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 приливы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жара, ночная потливость, которые могут длиться у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большинства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женщин до 7-10 лет и значительно нарушать качество жизни. Тяжелые приливы коррелируют с факторами риска: суррогатными маркерами ишемической болезни сердца (ИБС) и клиническими сердечно-сосудистыми событиями  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Нарушения сна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могут быть связаны с ночной потливостью, но нередко являются независимым признаком пери- и ранней постменопаузы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Когнитивная дисфункция и расстройства настроения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>– проявляются в пери- и ранней постменопаузе: плохая концентрация внимания, снижение памяти, трудности при выполнении сложных интеллектуальных задач, депрессия, тревога, перепады настроения. Одновременно у женщин могут быть боли в мышцах и суставах, головные боли, которые связана с нарушениями настроения и эмоций.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Боли в суставах и мышцах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одни из самых частых симптомов у женщин среднего возраста. Сложные взаимодействия генетических </w:t>
      </w: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изменений, дефицита половых гормонов и старения, наряду с механическими факторами и системным воспалением, обусловленным метаболическими изменениями, способствуют развитию остеоартрита. Метаболические нарушения, характерные для переходного периода и ранней постменопаузы, оказывают прямое и опосредованное негативное воздействие на здоровье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суставов и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обменные процессы в хряще, влияя на прогрессирование остеоартрита.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Генитоуринарный</w:t>
      </w:r>
      <w:proofErr w:type="spellEnd"/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 xml:space="preserve"> синдром в менопаузе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– симптомы и признаки атрофических процессов в мочеполовой системе чаще проявляется в поздней постменопаузе и включают сухость, раздражение, зуд и жжение вульвы и влагалища,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посткоитальное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кровотечение,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диспареуния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снижение сексуального влечения и влагалищной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смазки во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время половой жизни, стрессовое или ургентное недержание мочи</w:t>
      </w:r>
    </w:p>
    <w:p w:rsidR="00466C1F" w:rsidRPr="00366126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Сексуальная дисфункция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– снижение уровня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эстрогенов оказывает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негативное воздействие на сексуальную функцию женщин вследствие многих взаимосвязанных причин: вазомоторные симптомы, нарушение сна, изменение пропорций тела, депрессивные проявления, сухость влагалища,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диспареуния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1A6D86" w:rsidRPr="001A7C50" w:rsidRDefault="00466C1F" w:rsidP="001A7C50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Изменение массы и пропорций тела</w:t>
      </w:r>
      <w:r w:rsidRPr="0036612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– у женщин среднего возраста стабильное увеличение массы тела примерно на 0,5 кг в год определяется возрастом и негативными влияниями внешних факторов (переедание, малоподвижный образ жизни, хронический стресс, депрессия). В то же время накопление абдоминального/висцерального жира, маркером которого служит значимое увеличение окружности талии, даже у худых женщин может быть связано с относительной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гиперандрогенией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 В постменопаузе абдоминальное ожирение отмечается в 5 раз чаще, чем у женщин репродуктивного возраста.</w:t>
      </w:r>
    </w:p>
    <w:p w:rsidR="00466C1F" w:rsidRPr="00366126" w:rsidRDefault="00466C1F" w:rsidP="001A7C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Обязательным является тщательный сбор общего медицинского анамнеза, включающего наличие </w:t>
      </w:r>
      <w:proofErr w:type="gramStart"/>
      <w:r w:rsidRPr="00366126">
        <w:rPr>
          <w:rFonts w:ascii="Times New Roman" w:hAnsi="Times New Roman"/>
          <w:sz w:val="28"/>
          <w:szCs w:val="28"/>
          <w:lang w:eastAsia="en-US"/>
        </w:rPr>
        <w:t>сердечно-сосудистых</w:t>
      </w:r>
      <w:proofErr w:type="gram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заболеваний (ССЗ), сахарного диабета, венозной тромбоэмболии (ВТЭ), заболеваний молочных желез, онкологических заболеваний, остеопороза, дисфункции щитовидной </w:t>
      </w: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железы, аутоиммунных нарушений, проблем с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психическим здоровьем</w:t>
      </w:r>
      <w:r w:rsidRPr="00366126">
        <w:rPr>
          <w:rFonts w:ascii="Times New Roman" w:hAnsi="Times New Roman"/>
          <w:sz w:val="28"/>
          <w:szCs w:val="28"/>
          <w:lang w:eastAsia="en-US"/>
        </w:rPr>
        <w:t>, а также получаемое в настоящее время медикаментозное лечение.</w:t>
      </w:r>
    </w:p>
    <w:p w:rsidR="00466C1F" w:rsidRPr="00366126" w:rsidRDefault="00466C1F" w:rsidP="001A7C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При сборе гинекологического анамнеза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уточняется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возраст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менархе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менопаузы, тип менопаузы (естественная или ятрогенная), характер менструального цикла (частота, продолжительность и объем менструальных выделений), доброкачественные и злокачественные гинекологические заболеваний, признаки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гиперандрогении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, предменструальный синдром в анамнезе и подробности любого гинекологического хирургического вмешательства, если таковое имело место.</w:t>
      </w:r>
    </w:p>
    <w:p w:rsidR="00466C1F" w:rsidRPr="00366126" w:rsidRDefault="00466C1F" w:rsidP="001A7C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Важным для назначения терапии дефицита эстрогенов является сбор акушерского анамнеза: число беременностей, общая продолжительность лактации, число самопроизвольных выкидышей и искусственных абортов. Такие осложнения беременности, как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гестационный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сахарный диабет, гипертензия беременных,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преэклампсия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преждевременные роды и низкий, не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соответствующий </w:t>
      </w:r>
      <w:proofErr w:type="spellStart"/>
      <w:r w:rsidR="001A6D86" w:rsidRPr="00366126">
        <w:rPr>
          <w:rFonts w:ascii="Times New Roman" w:hAnsi="Times New Roman"/>
          <w:sz w:val="28"/>
          <w:szCs w:val="28"/>
          <w:lang w:eastAsia="en-US"/>
        </w:rPr>
        <w:t>гестационному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сроку, вес плода при рождении, относятся к специфическим факторам риска сердечно-сосудистых заболеваний у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>женщин и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могут свидетельствовать о наличии ранней эндотелиальной дисфункции и/или латентного сосудистого заболевания или метаболического нарушения.</w:t>
      </w:r>
    </w:p>
    <w:p w:rsidR="00D675AE" w:rsidRPr="00366126" w:rsidRDefault="00D675AE" w:rsidP="001A7C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Многочисленными исследованиями установлено, что у </w:t>
      </w:r>
      <w:r w:rsidR="001A6D86" w:rsidRPr="00366126">
        <w:rPr>
          <w:rFonts w:ascii="Times New Roman" w:hAnsi="Times New Roman"/>
          <w:sz w:val="28"/>
          <w:szCs w:val="28"/>
        </w:rPr>
        <w:t>женщин выше</w:t>
      </w:r>
      <w:r w:rsidRPr="00366126">
        <w:rPr>
          <w:rFonts w:ascii="Times New Roman" w:hAnsi="Times New Roman"/>
          <w:sz w:val="28"/>
          <w:szCs w:val="28"/>
        </w:rPr>
        <w:t xml:space="preserve"> вероятность развития ССЗ и связанной с ними инвалидности и смертности, чем у </w:t>
      </w:r>
      <w:r w:rsidR="001A6D86" w:rsidRPr="00366126">
        <w:rPr>
          <w:rFonts w:ascii="Times New Roman" w:hAnsi="Times New Roman"/>
          <w:sz w:val="28"/>
          <w:szCs w:val="28"/>
        </w:rPr>
        <w:t>мужчин, что</w:t>
      </w:r>
      <w:r w:rsidRPr="00366126">
        <w:rPr>
          <w:rFonts w:ascii="Times New Roman" w:hAnsi="Times New Roman"/>
          <w:sz w:val="28"/>
          <w:szCs w:val="28"/>
        </w:rPr>
        <w:t xml:space="preserve"> обусловлено потерей в постменопаузе эстрогенной «защиты», кроме того роль традиционных факторов риска у женщин не столь однозначна, как у мужчин, они не всегда «точно» предсказывают </w:t>
      </w:r>
      <w:r w:rsidR="001A6D86" w:rsidRPr="00366126">
        <w:rPr>
          <w:rFonts w:ascii="Times New Roman" w:hAnsi="Times New Roman"/>
          <w:sz w:val="28"/>
          <w:szCs w:val="28"/>
        </w:rPr>
        <w:t>риск развития</w:t>
      </w:r>
      <w:r w:rsidRPr="00366126">
        <w:rPr>
          <w:rFonts w:ascii="Times New Roman" w:hAnsi="Times New Roman"/>
          <w:sz w:val="28"/>
          <w:szCs w:val="28"/>
        </w:rPr>
        <w:t xml:space="preserve"> сердечно-сосудистых заболеваний. В России первичная профилактика </w:t>
      </w:r>
      <w:proofErr w:type="gramStart"/>
      <w:r w:rsidRPr="00366126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366126">
        <w:rPr>
          <w:rFonts w:ascii="Times New Roman" w:hAnsi="Times New Roman"/>
          <w:sz w:val="28"/>
          <w:szCs w:val="28"/>
        </w:rPr>
        <w:t xml:space="preserve"> заболеваний, в основном, направлена на мужчин, а лучший путь предупредить ССЗ и выявить нарушения на ранней стадии – это период жизни женщин с пери- и ранней постменопаузы (6-8 лет).</w:t>
      </w:r>
    </w:p>
    <w:p w:rsidR="001A6D86" w:rsidRPr="00366126" w:rsidRDefault="001A6D86" w:rsidP="001A7C5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66126">
        <w:rPr>
          <w:rFonts w:ascii="Times New Roman" w:hAnsi="Times New Roman"/>
          <w:iCs/>
          <w:sz w:val="28"/>
          <w:szCs w:val="28"/>
          <w:lang w:eastAsia="en-US"/>
        </w:rPr>
        <w:lastRenderedPageBreak/>
        <w:t xml:space="preserve">Оценка состояния здоровья женщин среднего возраста включает </w:t>
      </w:r>
      <w:r w:rsidRPr="00366126">
        <w:rPr>
          <w:rFonts w:ascii="Times New Roman" w:hAnsi="Times New Roman"/>
          <w:b/>
          <w:iCs/>
          <w:sz w:val="28"/>
          <w:szCs w:val="28"/>
          <w:lang w:eastAsia="en-US"/>
        </w:rPr>
        <w:t>обязательные и условные</w:t>
      </w:r>
      <w:r w:rsidRPr="00366126">
        <w:rPr>
          <w:rFonts w:ascii="Times New Roman" w:hAnsi="Times New Roman"/>
          <w:iCs/>
          <w:sz w:val="28"/>
          <w:szCs w:val="28"/>
          <w:lang w:eastAsia="en-US"/>
        </w:rPr>
        <w:t xml:space="preserve"> обследования.</w:t>
      </w: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iCs/>
          <w:sz w:val="28"/>
          <w:szCs w:val="28"/>
          <w:lang w:eastAsia="en-US"/>
        </w:rPr>
        <w:t xml:space="preserve">К обязательным обследованиям </w:t>
      </w:r>
      <w:r w:rsidRPr="00366126">
        <w:rPr>
          <w:rFonts w:ascii="Times New Roman" w:hAnsi="Times New Roman"/>
          <w:iCs/>
          <w:sz w:val="28"/>
          <w:szCs w:val="28"/>
          <w:lang w:eastAsia="en-US"/>
        </w:rPr>
        <w:t>относятся у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точнение личного и семейного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анамнеза: </w:t>
      </w:r>
      <w:proofErr w:type="spellStart"/>
      <w:r w:rsidR="001A6D86" w:rsidRPr="00366126">
        <w:rPr>
          <w:rFonts w:ascii="Times New Roman" w:eastAsia="SymbolMT" w:hAnsi="Times New Roman"/>
          <w:sz w:val="28"/>
          <w:szCs w:val="28"/>
          <w:lang w:eastAsia="en-US"/>
        </w:rPr>
        <w:t>гистер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- или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овариэктомия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, злокачественные опухоли репродуктивных </w:t>
      </w:r>
      <w:r w:rsidR="001A6D86" w:rsidRPr="00366126">
        <w:rPr>
          <w:rFonts w:ascii="Times New Roman" w:hAnsi="Times New Roman"/>
          <w:sz w:val="28"/>
          <w:szCs w:val="28"/>
          <w:lang w:eastAsia="en-US"/>
        </w:rPr>
        <w:t xml:space="preserve">органов, </w:t>
      </w:r>
      <w:r w:rsidR="001A6D86" w:rsidRPr="00366126">
        <w:rPr>
          <w:rFonts w:ascii="Times New Roman" w:eastAsia="SymbolMT" w:hAnsi="Times New Roman"/>
          <w:sz w:val="28"/>
          <w:szCs w:val="28"/>
          <w:lang w:eastAsia="en-US"/>
        </w:rPr>
        <w:t>тромбозы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(опросник – см. приложение), остеопороз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 xml:space="preserve"> и наличие переломов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ССЗ</w:t>
      </w:r>
      <w:r w:rsidRPr="00366126">
        <w:rPr>
          <w:rFonts w:ascii="Times New Roman" w:hAnsi="Times New Roman"/>
          <w:sz w:val="28"/>
          <w:szCs w:val="28"/>
          <w:lang w:eastAsia="en-US"/>
        </w:rPr>
        <w:t>, заболевания ЖКТ, диабет, деменция, заболев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ания щитовидной железы, курение/</w:t>
      </w:r>
      <w:r w:rsidRPr="00366126">
        <w:rPr>
          <w:rFonts w:ascii="Times New Roman" w:hAnsi="Times New Roman"/>
          <w:sz w:val="28"/>
          <w:szCs w:val="28"/>
          <w:lang w:eastAsia="en-US"/>
        </w:rPr>
        <w:t>алкоголизм, питание, физические нагрузки.</w:t>
      </w: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Тщательный сбор анамнеза позволяет выявить факторы, «заблаговременно» влияющие на процесс увядания женской репродуктивной функции: </w:t>
      </w:r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возраст </w:t>
      </w:r>
      <w:proofErr w:type="spellStart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менархе</w:t>
      </w:r>
      <w:proofErr w:type="spellEnd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табакокурение</w:t>
      </w:r>
      <w:proofErr w:type="spellEnd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, ожирение, отягощенный акушерский анамнез, отягощенный гинекологический анамнез, </w:t>
      </w:r>
      <w:proofErr w:type="spellStart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экстрагенитальная</w:t>
      </w:r>
      <w:proofErr w:type="spellEnd"/>
      <w:r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патология</w:t>
      </w:r>
      <w:r w:rsid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1A7C50" w:rsidRP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[</w:t>
      </w:r>
      <w:r w:rsid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1, 3, 4, 8, 12, 13, 14, 15, 16</w:t>
      </w:r>
      <w:r w:rsidR="001A7C50" w:rsidRPr="001A7C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]</w:t>
      </w:r>
      <w:r w:rsidR="001A717A" w:rsidRPr="00366126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.</w:t>
      </w:r>
    </w:p>
    <w:p w:rsidR="00466C1F" w:rsidRPr="00366126" w:rsidRDefault="00466C1F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b/>
          <w:i/>
          <w:sz w:val="28"/>
          <w:szCs w:val="28"/>
          <w:lang w:eastAsia="en-US"/>
        </w:rPr>
        <w:t>Общее обследование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включает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 xml:space="preserve">расчет </w:t>
      </w:r>
      <w:r w:rsidRPr="00366126">
        <w:rPr>
          <w:rFonts w:ascii="Times New Roman" w:hAnsi="Times New Roman"/>
          <w:sz w:val="28"/>
          <w:szCs w:val="28"/>
          <w:lang w:eastAsia="en-US"/>
        </w:rPr>
        <w:t>индекс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а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массы тела,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измерение артериального давления (АД)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клинический анали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з крови; гинекологическое исследование;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онкоцитологи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ю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(РАР-тест); 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ультразвуковое исследование (</w:t>
      </w:r>
      <w:r w:rsidRPr="00366126">
        <w:rPr>
          <w:rFonts w:ascii="Times New Roman" w:hAnsi="Times New Roman"/>
          <w:sz w:val="28"/>
          <w:szCs w:val="28"/>
          <w:lang w:eastAsia="en-US"/>
        </w:rPr>
        <w:t>УЗИ</w:t>
      </w:r>
      <w:r w:rsidR="00817057" w:rsidRPr="00366126">
        <w:rPr>
          <w:rFonts w:ascii="Times New Roman" w:hAnsi="Times New Roman"/>
          <w:sz w:val="28"/>
          <w:szCs w:val="28"/>
          <w:lang w:eastAsia="en-US"/>
        </w:rPr>
        <w:t>)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органов малого таза  (при толщине эндометрия до 4 мм МГТ не противопоказана, до 7 мм –  назначаются прогестагены на 12-14 дней и контроль УЗИ на 5-й день «менструации»; более  7 мм -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гистероскопия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и диагностическое выскабливание; обследование молочных желез – пальпация, маммография (после 40 лет ежегодная);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липидограмма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(ОХС, ЛПНП-ХС, ЛПВП-ХС); глюкоза и ТТГ в крови.</w:t>
      </w:r>
    </w:p>
    <w:p w:rsidR="00466C1F" w:rsidRPr="00366126" w:rsidRDefault="00817057" w:rsidP="001A7C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i/>
          <w:iCs/>
          <w:sz w:val="28"/>
          <w:szCs w:val="28"/>
          <w:lang w:eastAsia="en-US"/>
        </w:rPr>
        <w:t>Дополнительные</w:t>
      </w:r>
      <w:r w:rsidR="00466C1F" w:rsidRPr="00366126">
        <w:rPr>
          <w:rFonts w:ascii="Times New Roman" w:hAnsi="Times New Roman"/>
          <w:b/>
          <w:i/>
          <w:iCs/>
          <w:sz w:val="28"/>
          <w:szCs w:val="28"/>
          <w:lang w:eastAsia="en-US"/>
        </w:rPr>
        <w:t xml:space="preserve"> обследования</w:t>
      </w:r>
      <w:r w:rsidR="00466C1F" w:rsidRPr="00366126">
        <w:rPr>
          <w:rFonts w:ascii="Times New Roman" w:hAnsi="Times New Roman"/>
          <w:b/>
          <w:iCs/>
          <w:sz w:val="28"/>
          <w:szCs w:val="28"/>
          <w:lang w:eastAsia="en-US"/>
        </w:rPr>
        <w:t xml:space="preserve">: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УЗИ печени и печеночные ферменты;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анализ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кров</w:t>
      </w:r>
      <w:r w:rsidRPr="00366126">
        <w:rPr>
          <w:rFonts w:ascii="Times New Roman" w:hAnsi="Times New Roman"/>
          <w:sz w:val="28"/>
          <w:szCs w:val="28"/>
          <w:lang w:eastAsia="en-US"/>
        </w:rPr>
        <w:t>и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на </w:t>
      </w:r>
      <w:proofErr w:type="spellStart"/>
      <w:r w:rsidR="00466C1F" w:rsidRPr="00366126">
        <w:rPr>
          <w:rFonts w:ascii="Times New Roman" w:hAnsi="Times New Roman"/>
          <w:sz w:val="28"/>
          <w:szCs w:val="28"/>
          <w:lang w:eastAsia="en-US"/>
        </w:rPr>
        <w:t>тромбофилические</w:t>
      </w:r>
      <w:proofErr w:type="spellEnd"/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мутации</w:t>
      </w:r>
      <w:r w:rsidRPr="00366126">
        <w:rPr>
          <w:rFonts w:ascii="Times New Roman" w:hAnsi="Times New Roman"/>
          <w:sz w:val="28"/>
          <w:szCs w:val="28"/>
          <w:lang w:eastAsia="en-US"/>
        </w:rPr>
        <w:t>,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ФСГ, Е2, пролактин, АМГ,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ингибин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(после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гистерэктомии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для уточнения яичниковых резервов)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рентгеновская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денситометрия;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колоноскопия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6C1F" w:rsidRPr="00366126" w:rsidRDefault="00466C1F" w:rsidP="001A6D8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6C1F" w:rsidRPr="00366126" w:rsidRDefault="00817057" w:rsidP="00CE464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ПРИНЦИПЫ НАЗНАЧЕНИЯ МЕНОПАУЗАЛЬНОЙ ГОРМОНАЛЬНОЙ ТЕРАПИИ</w:t>
      </w:r>
    </w:p>
    <w:p w:rsidR="00466C1F" w:rsidRPr="00A610D4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стратегия поддержания здоровья женщин в пер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постменопаузе, наряду с обязательным соблюдением здорового образа жизни, включает </w:t>
      </w:r>
      <w:r w:rsidR="00817057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менопаузальную гормональную </w:t>
      </w: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терапию</w:t>
      </w:r>
      <w:r w:rsidR="00817057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(МГТ)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МГТ</w:t>
      </w: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частично восполнить сниженную функцию яичников при дефиците половых гормонов, используя такие минимально-оптимальные дозы гормональных препаратов, которые реально улучшили бы общее состояние больных, обеспечили бы профилактику поздних обменных нарушений и не сопровождались бы побочными эффектами</w:t>
      </w:r>
      <w:r w:rsid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10D4" w:rsidRP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3, 7,8</w:t>
      </w:r>
      <w:r w:rsidR="00A610D4" w:rsidRPr="00A61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Показания для назначения МГТ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вазомоторные симптомы с изменением настроения, нарушением сна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симптомы урогенитальной атрофии, сексуальная дисфункция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профилактика и лечение остеопороза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низкое качество жизни, связанное с климактерием, включая артралгии и мышечные боли </w:t>
      </w:r>
    </w:p>
    <w:p w:rsidR="00466C1F" w:rsidRPr="00366126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преждевременная и ранняя менопауза </w:t>
      </w:r>
    </w:p>
    <w:p w:rsidR="00466C1F" w:rsidRPr="001A7C50" w:rsidRDefault="00466C1F" w:rsidP="00E32AC5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овариэктомия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рекомендуется придерживаться так называемой «временной» </w:t>
      </w:r>
      <w:r w:rsidR="0081705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гипотезы: начинать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МГТ в возрасте моложе 60 лет, при длительности постменопаузы менее 10 лет.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МГТ включает большой спектр гормональных препаратов для перорального и парентерального введения в различных дозах с учетом данных личного и семейного анамнеза, мотивации женщин, результатов соответствующих исследований и здоровья женщины.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Дозы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эстрогенов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низкие и соответствуют уровню таковых в крови молодых женщин в ранней фазе пролиферации.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Сочетание эстрогенов с </w:t>
      </w:r>
      <w:proofErr w:type="spell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защищать эндометрий от гиперпластических процессов при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интактной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матке. </w:t>
      </w:r>
    </w:p>
    <w:p w:rsidR="00466C1F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Необходимо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предоставлять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женщинам соответствующую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новую объективную информацию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которая позволяла бы им принимать </w:t>
      </w:r>
      <w:r w:rsidR="00817057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осознанное 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информированное решение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пользу МГТ.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Режимы МГТ </w:t>
      </w:r>
    </w:p>
    <w:p w:rsidR="00466C1F" w:rsidRPr="00366126" w:rsidRDefault="00817057" w:rsidP="001A7C50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</w:t>
      </w:r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онотерапия</w:t>
      </w:r>
      <w:proofErr w:type="spellEnd"/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эстрогенами или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466C1F" w:rsidRPr="00366126" w:rsidRDefault="00817057" w:rsidP="001A7C50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Комбинированная терапия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(эстрогены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</w:t>
      </w:r>
      <w:proofErr w:type="spellStart"/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интактной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матке в </w:t>
      </w:r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циклическом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режиме в фазе менопаузального перехода и в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:rsidR="00466C1F" w:rsidRPr="00366126" w:rsidRDefault="00817057" w:rsidP="001A7C50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</w:t>
      </w:r>
      <w:r w:rsidR="00466C1F"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онофазная комбинированная терапия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(эстрогены с </w:t>
      </w:r>
      <w:proofErr w:type="spellStart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</w:t>
      </w:r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непрерывном</w:t>
      </w:r>
      <w:r w:rsidR="00466C1F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режиме в постменопаузе.</w:t>
      </w:r>
      <w:r w:rsidR="00466C1F"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17057" w:rsidRPr="00366126" w:rsidRDefault="00817057" w:rsidP="001A7C50">
      <w:pPr>
        <w:pStyle w:val="a5"/>
        <w:spacing w:after="0" w:line="360" w:lineRule="auto"/>
        <w:ind w:left="121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6C1F" w:rsidRPr="00366126" w:rsidRDefault="00466C1F" w:rsidP="001A7C50">
      <w:pPr>
        <w:pStyle w:val="a5"/>
        <w:numPr>
          <w:ilvl w:val="0"/>
          <w:numId w:val="25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Монотерапия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Монотерапия эстрогенами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назначается женщинам с удаленной маткой. Используются препараты, содержащие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17β,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эстрадиолавалерат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Пути введения: пероральный (таблетки) и парентеральный (накожный – гели/пластыри; вагинальный - таблетки/кремы/свечи/кольца; инъекционный); прерывистые курсы или непрерывный режим.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онотерапия</w:t>
      </w:r>
      <w:proofErr w:type="spell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назначаются в фазе менопаузального перехода или 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регуляции цикла и лечения гиперпластических процессов.</w:t>
      </w:r>
      <w:r w:rsidR="0081705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Используется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микронизированный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прогестерон (перорально или вагинально), дидрогестерон перорально. Возможно введение ВМС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левоноргестрелом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кон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трацептивной и лечебной целью. </w:t>
      </w:r>
    </w:p>
    <w:p w:rsidR="00466C1F" w:rsidRPr="00366126" w:rsidRDefault="00466C1F" w:rsidP="001A7C50">
      <w:pPr>
        <w:pStyle w:val="a5"/>
        <w:keepNext/>
        <w:keepLines/>
        <w:numPr>
          <w:ilvl w:val="0"/>
          <w:numId w:val="25"/>
        </w:numPr>
        <w:tabs>
          <w:tab w:val="left" w:pos="993"/>
          <w:tab w:val="left" w:pos="1560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Комбинированная терапия в циклическом режиме </w:t>
      </w:r>
    </w:p>
    <w:p w:rsidR="00466C1F" w:rsidRPr="00E32AC5" w:rsidRDefault="00466C1F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Двухфазные препараты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назначаются в фазе менопаузального перехода или 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непрерывный циклический режим (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дидрогестерон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1/10, 2/10) либо прерывистый циклический режим (см. приложение). Следует информировать женщину о том, что препараты для МГТ не обладают контрацептивным эффектом.</w:t>
      </w:r>
      <w:r w:rsid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pStyle w:val="a5"/>
        <w:keepNext/>
        <w:keepLines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Монофазная комбинированная терапия в непрерывном режиме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Назначается в постменопаузе. Эстрогены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дидрогестерон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1/5,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дроспиренон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а также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тиболон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в организме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метаболизируется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эстроген, гестаген и андроген.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Препараты эстрогенов выпускаются в различных дозах. Эти дозы рекомендуются женщинам в пери- и постменопаузе. Молодым женщинам могут потребоваться более высокие дозы эстрогенов. </w:t>
      </w:r>
    </w:p>
    <w:p w:rsidR="00544F0B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Преждевременная и ранняя менопауза представляет собой высокий риск </w:t>
      </w:r>
      <w:r w:rsidR="0081705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ССЗ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остеопороза и деменции. МГТ позволяет уменьшить климактерические симптомы и сохранить плотность костной ткани; показана до возраста естественной менопаузы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7C50" w:rsidRP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1, 4, 8</w:t>
      </w:r>
      <w:r w:rsidR="001A7C50" w:rsidRP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4F0B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Решение о проведении МГТ принимается индивидуально с учетом жалоб, симптомов </w:t>
      </w:r>
      <w:proofErr w:type="gramStart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эстроген-дефицита</w:t>
      </w:r>
      <w:proofErr w:type="gramEnd"/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качества жизни и показателей здоровья, а также учитывая индивидуальные факторы риска такие, как возраст, длительность постменопаузы и риск венозной тромбоэмболии, инсульта, ИБС и рака молочной железы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МГТ не следует назначать без четких показаний.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продолжительность приема комбинированной гормонотерапии составляет 5 лет, монотерапии эстрогенами – 7 лет.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Решение о дозе и продолжительности МГТ должно приниматься индивидуально с учетом цели терапии, например, уменьшения симптомов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004F7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продолжении МГТ или об отказе отдано на усмотрение хорошо информированной пациентки и врача с учетом объективной оценки индивидуального </w:t>
      </w:r>
      <w:r w:rsidR="00B004F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баланса пользы</w:t>
      </w:r>
      <w:r w:rsidR="001A7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риска. 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Противопоказания для МГТ</w:t>
      </w:r>
      <w:r w:rsidR="00B004F7"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кровотечение из половых путей неясного генеза;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 молочной железы и эндометрия;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острый гепатит;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острый тромбоз глубоких вен; </w:t>
      </w:r>
    </w:p>
    <w:p w:rsidR="00466C1F" w:rsidRPr="00366126" w:rsidRDefault="00466C1F" w:rsidP="001A7C5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острая тромбоэмболия; </w:t>
      </w:r>
    </w:p>
    <w:p w:rsidR="00466C1F" w:rsidRPr="00366126" w:rsidRDefault="00466C1F" w:rsidP="001A7C5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аллергия к ингредиентам МГТ </w:t>
      </w:r>
    </w:p>
    <w:p w:rsidR="00466C1F" w:rsidRPr="00366126" w:rsidRDefault="00466C1F" w:rsidP="001A7C50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кожная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порфирия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Следует отдельно выделить противопоказания к некоторым половым гормонам.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для эстрогенов: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 молочной железы ЭР+, рак эндометрия (в анамнезе); </w:t>
      </w:r>
    </w:p>
    <w:p w:rsidR="00466C1F" w:rsidRPr="00366126" w:rsidRDefault="00466C1F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тяжелая дисфункция печени; </w:t>
      </w:r>
    </w:p>
    <w:p w:rsidR="00466C1F" w:rsidRPr="00366126" w:rsidRDefault="00B004F7" w:rsidP="001A7C5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порфирия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04F7" w:rsidRPr="00366126" w:rsidRDefault="00466C1F" w:rsidP="001A7C5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для гестагенов: </w:t>
      </w:r>
    </w:p>
    <w:p w:rsidR="000F3231" w:rsidRPr="001A7C50" w:rsidRDefault="00466C1F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менингиома</w:t>
      </w:r>
      <w:proofErr w:type="spellEnd"/>
      <w:r w:rsidR="00B004F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Относительные противопоказания для МГТ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миома матки,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эндометриоз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мигрень;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венозный тромбоз и эмболия (в анамнезе);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семейная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гипертрицеридемия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желчнокаменная болезнь; </w:t>
      </w:r>
    </w:p>
    <w:p w:rsidR="00466C1F" w:rsidRPr="00366126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эпилепсия; </w:t>
      </w:r>
    </w:p>
    <w:p w:rsidR="00466C1F" w:rsidRPr="001A7C50" w:rsidRDefault="00466C1F" w:rsidP="001A7C50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 яичников (в анамнезе)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Наиболее тяжелые и часто встречающиеся заболевания женщин старшего возраста, обусловленные не только возрастом, но и эстрогенным дефицитом: </w:t>
      </w:r>
    </w:p>
    <w:p w:rsidR="00466C1F" w:rsidRPr="00366126" w:rsidRDefault="00B004F7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ССЗ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: атеросклероз, </w:t>
      </w:r>
      <w:r w:rsidRPr="00366126">
        <w:rPr>
          <w:rFonts w:ascii="Times New Roman" w:hAnsi="Times New Roman"/>
          <w:sz w:val="28"/>
          <w:szCs w:val="28"/>
          <w:lang w:eastAsia="en-US"/>
        </w:rPr>
        <w:t>артериальная гипертония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, гиперлипидемия</w:t>
      </w:r>
      <w:r w:rsidRPr="00366126">
        <w:rPr>
          <w:rFonts w:ascii="Times New Roman" w:hAnsi="Times New Roman"/>
          <w:sz w:val="28"/>
          <w:szCs w:val="28"/>
          <w:lang w:eastAsia="en-US"/>
        </w:rPr>
        <w:t>;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66C1F" w:rsidRPr="00366126" w:rsidRDefault="00B004F7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Неврологические: когнитивные нарушения, снижение памяти, зрения и слуха;</w:t>
      </w:r>
    </w:p>
    <w:p w:rsidR="00466C1F" w:rsidRPr="00366126" w:rsidRDefault="00466C1F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Костно-мышечные: остеопороз, остеоартрит</w:t>
      </w:r>
      <w:r w:rsidR="00B004F7" w:rsidRPr="00366126">
        <w:rPr>
          <w:rFonts w:ascii="Times New Roman" w:hAnsi="Times New Roman"/>
          <w:sz w:val="28"/>
          <w:szCs w:val="28"/>
          <w:lang w:eastAsia="en-US"/>
        </w:rPr>
        <w:t>;</w:t>
      </w:r>
    </w:p>
    <w:p w:rsidR="00466C1F" w:rsidRPr="00366126" w:rsidRDefault="00466C1F" w:rsidP="001A7C50">
      <w:pPr>
        <w:pStyle w:val="a5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Гени</w:t>
      </w:r>
      <w:r w:rsidR="00B004F7" w:rsidRPr="00366126">
        <w:rPr>
          <w:rFonts w:ascii="Times New Roman" w:hAnsi="Times New Roman"/>
          <w:sz w:val="28"/>
          <w:szCs w:val="28"/>
          <w:lang w:eastAsia="en-US"/>
        </w:rPr>
        <w:t>тоуринарный</w:t>
      </w:r>
      <w:proofErr w:type="spellEnd"/>
      <w:r w:rsidR="00B004F7" w:rsidRPr="00366126">
        <w:rPr>
          <w:rFonts w:ascii="Times New Roman" w:hAnsi="Times New Roman"/>
          <w:sz w:val="28"/>
          <w:szCs w:val="28"/>
          <w:lang w:eastAsia="en-US"/>
        </w:rPr>
        <w:t xml:space="preserve"> синдром в менопаузе.</w:t>
      </w:r>
    </w:p>
    <w:p w:rsidR="00B004F7" w:rsidRPr="00E32AC5" w:rsidRDefault="001A7C50" w:rsidP="00A610D4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этот период крайне важны вмешательства для улучшения общего состояния, повышения качества жизни, про</w:t>
      </w:r>
      <w:r>
        <w:rPr>
          <w:rFonts w:ascii="Times New Roman" w:hAnsi="Times New Roman"/>
          <w:sz w:val="28"/>
          <w:szCs w:val="28"/>
          <w:lang w:eastAsia="en-US"/>
        </w:rPr>
        <w:t>филактики заболеваний старения</w:t>
      </w:r>
      <w:r w:rsidRPr="001A7C50">
        <w:rPr>
          <w:rFonts w:ascii="Times New Roman" w:hAnsi="Times New Roman"/>
          <w:sz w:val="28"/>
          <w:szCs w:val="28"/>
          <w:lang w:eastAsia="en-US"/>
        </w:rPr>
        <w:t xml:space="preserve"> [</w:t>
      </w:r>
      <w:r w:rsidR="001A717A" w:rsidRPr="00366126">
        <w:rPr>
          <w:rFonts w:ascii="Times New Roman" w:hAnsi="Times New Roman"/>
          <w:sz w:val="28"/>
          <w:szCs w:val="28"/>
          <w:lang w:eastAsia="en-US"/>
        </w:rPr>
        <w:t>3, 7</w:t>
      </w:r>
      <w:r w:rsidR="00E32AC5" w:rsidRPr="00E32AC5">
        <w:rPr>
          <w:rFonts w:ascii="Times New Roman" w:hAnsi="Times New Roman"/>
          <w:sz w:val="28"/>
          <w:szCs w:val="28"/>
          <w:lang w:eastAsia="en-US"/>
        </w:rPr>
        <w:t>]</w:t>
      </w:r>
      <w:r w:rsidR="00466C1F" w:rsidRPr="00366126">
        <w:rPr>
          <w:rFonts w:ascii="Times New Roman" w:hAnsi="Times New Roman"/>
          <w:sz w:val="28"/>
          <w:szCs w:val="28"/>
          <w:lang w:eastAsia="en-US"/>
        </w:rPr>
        <w:t>.</w:t>
      </w:r>
    </w:p>
    <w:p w:rsidR="00466C1F" w:rsidRPr="00366126" w:rsidRDefault="00466C1F" w:rsidP="001A7C50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Индивидуализация МГТ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Индивидуализация МГТ – это дифференцированный подбор МГТ с учетом состояния здоровья женщины и сопутствующих заболеваний, а также режима МГТ (типа, дозы, пути введения и побочных эффектов)</w:t>
      </w:r>
      <w:r w:rsidR="000F323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004F7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включает следующие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факторы: </w:t>
      </w:r>
    </w:p>
    <w:p w:rsidR="00466C1F" w:rsidRPr="00366126" w:rsidRDefault="00466C1F" w:rsidP="001A7C50">
      <w:pPr>
        <w:pStyle w:val="a5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 женщины и продолжительность постменопаузы: после 60</w:t>
      </w:r>
      <w:r w:rsidR="000F323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летнего возраста, либо после 9-10 лет постменопаузы начинать МГТ нецелесообразно; </w:t>
      </w:r>
    </w:p>
    <w:p w:rsidR="00466C1F" w:rsidRPr="00366126" w:rsidRDefault="00466C1F" w:rsidP="001A7C50">
      <w:pPr>
        <w:pStyle w:val="a5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особенности менструального цикла в репродуктивном периоде (олиго- / аменорея, аномальные маточные кровотечения; периоды длительной аменореи) могут способствовать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остеопении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изменению липидного спектра крови; </w:t>
      </w:r>
    </w:p>
    <w:p w:rsidR="00466C1F" w:rsidRPr="001A7C50" w:rsidRDefault="00466C1F" w:rsidP="001A7C50">
      <w:pPr>
        <w:pStyle w:val="a5"/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преждевременной менопаузе (до 40 лет) можно обсудить вопрос о целесообразности применения </w:t>
      </w:r>
      <w:r w:rsidR="00EA363A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комбинированных оральных контрацептивов (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КОК</w:t>
      </w:r>
      <w:r w:rsidR="00EA363A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МГТ не является стандартным режимом терапии </w:t>
      </w:r>
      <w:r w:rsidR="00EA363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для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любой женщины. Риски МГТ могут быть минимизированы, а преимущества – максимально увеличены путем</w:t>
      </w:r>
      <w:r w:rsidR="00EA363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индивидуального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выбора оптимального режима в оптимальный период времени.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Безопасность МГТ зависит главным образом от возраста.  Данные WHI и других исследований позволяют четко предположить, что с точки зрения любого увеличения риска рака молочной железы, более значим именно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прогестагенный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компонент МГТ, а не эстроген.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Парентеральное введение эстрогенов практически не повышает риск ВТЭ и их применение должно быть предпочтительными у женщин с факторами риска тромбоэмболических явлений при необходимости применени</w:t>
      </w:r>
      <w:r w:rsidR="001A717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я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МГТ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3, 4, 22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Применение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трансдермальной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формы 17β-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эстрадиола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предпочтительно у женщин с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гипертриглицеридемией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, заболеваниями печени, поджелудочной железы, мигренями и уровнем </w:t>
      </w:r>
      <w:r w:rsidR="00EA363A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систолического АД </w:t>
      </w:r>
      <w:r w:rsidR="001C017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более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170 мм рт.ст.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lastRenderedPageBreak/>
        <w:t xml:space="preserve">С точки зрения длительной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кардиопротекции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и, возможно, длительной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нейропротекции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, существует «окно терапевтических возможностей» при назначении МГТ в среднем возрасте.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Женщины могут использовать МГТ при наличии положительного эффекта. Если с отменой МГТ возобновляются менопаузальные симптомы, возможно продолжить прием МГТ в минимальных эффективных дозах.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6D86">
      <w:pPr>
        <w:spacing w:after="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C0176" w:rsidRPr="00366126" w:rsidRDefault="00EA363A" w:rsidP="00CE464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СТИЛЬ ЖИЗНИ И АЛЬТЕРНАТИВНАЯ ТЕРАПИЯ</w:t>
      </w:r>
    </w:p>
    <w:p w:rsidR="00466C1F" w:rsidRPr="00366126" w:rsidRDefault="00466C1F" w:rsidP="001A7C50">
      <w:pPr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Физические упражнения 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Регулярные физические упражнения снижают смертность от сердечнососудистых заболеваний и общую смертность.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У физически активных лиц наблюдаются лучший метаболический профиль, баланс, мышечная сила, когнитивные способности и качество жизни. Кардиологические заболевания, инсульт, переломы и рак молочной железы и толстой кишки встречаются гораздо реже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3, 4, 21, 23, 24, 25</w:t>
      </w:r>
      <w:r w:rsidR="001A7C50" w:rsidRPr="001A7C50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1A7C50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Оптимальные физические нагрузки составляют как минимум 150 минут упражнений средней интенсивности в неделю. Однако</w:t>
      </w:r>
      <w:proofErr w:type="gram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,</w:t>
      </w:r>
      <w:proofErr w:type="gram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рекомендованная интенсивность аэробной активности должна учитывать физическое состояние пожилых людей.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Здоровый образ жизни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Снижение массы тела лишь на 5-10% достаточно для коррекции многих нарушений, ассоциированных с синдромом инсулинорезистентности.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7C1B8B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Основные компоненты здорового питания: несколько порций в день фруктов и овощей, цельных злаков, рыба дважды в неделю, и низкое общее потребление жиров,</w:t>
      </w:r>
      <w:r w:rsidR="001C017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рекомендуется</w:t>
      </w:r>
      <w:r w:rsidR="001C017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отдавать предпочтение оливковому маслу. Потребление соли должно быть ограничено, а дневное количество алкоголя не должно превышать 20 г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706088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1, 3, </w:t>
      </w:r>
      <w:r w:rsidR="00792F6B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4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Необходимо рекомендовать отказ от курения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25, 26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Благоприятный эффект оказывают неформальное общение, физическая и интеллектуальная активность.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lastRenderedPageBreak/>
        <w:t xml:space="preserve">Необходим новый стиль взаимоотношений врач-пациент, при котором врач становится советчиком, а пациентка должна взять ответственность за свое собственное здоровье.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Медитация, релаксация и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когнитивно</w:t>
      </w:r>
      <w:proofErr w:type="spellEnd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-поведенческая терапия подают надежды с точки зрения ведения пациенток с приливами, но необходимы</w:t>
      </w:r>
      <w:r w:rsidR="00596FA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рандомизированные</w:t>
      </w:r>
      <w:proofErr w:type="spellEnd"/>
      <w:r w:rsidR="00596FA6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исследования.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Изменение диеты и физические упражнения могут облегчать приливы, улучшать настроение и качество жизни.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6C1F" w:rsidRPr="00366126" w:rsidRDefault="00466C1F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Регулярные физические упражнения, снижение массы тела и устранение триггеров приливов (например, кофеина или прямых источников тепла) могут минимизировать приливы и их влияние</w:t>
      </w:r>
      <w:r w:rsid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 xml:space="preserve"> 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[</w:t>
      </w:r>
      <w:r w:rsidR="00706088"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3, 4, 8</w:t>
      </w:r>
      <w:r w:rsidR="007C1B8B" w:rsidRPr="007C1B8B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1A171C"/>
          <w:sz w:val="28"/>
          <w:szCs w:val="28"/>
          <w:lang w:eastAsia="ru-RU"/>
        </w:rPr>
        <w:t>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6088" w:rsidRPr="00366126" w:rsidRDefault="00706088" w:rsidP="001A7C5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46B" w:rsidRPr="00366126" w:rsidRDefault="00EA363A" w:rsidP="00CE46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>СЕРДЕЧНО-СОСУДИСТЫЕ ЗАБОЛЕВАНИЯ У ЖЕНЩИН</w:t>
      </w:r>
      <w:r w:rsidR="00CE464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A417A">
        <w:rPr>
          <w:rFonts w:ascii="Times New Roman" w:hAnsi="Times New Roman"/>
          <w:b/>
          <w:sz w:val="28"/>
          <w:szCs w:val="28"/>
        </w:rPr>
        <w:t xml:space="preserve"> В ПР</w:t>
      </w:r>
      <w:proofErr w:type="gramStart"/>
      <w:r w:rsidR="000A417A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366126">
        <w:rPr>
          <w:rFonts w:ascii="Times New Roman" w:hAnsi="Times New Roman"/>
          <w:b/>
          <w:sz w:val="28"/>
          <w:szCs w:val="28"/>
        </w:rPr>
        <w:t xml:space="preserve"> И ПОСТМЕНОПАУЗЕ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26">
        <w:rPr>
          <w:rFonts w:ascii="Times New Roman" w:hAnsi="Times New Roman"/>
          <w:sz w:val="28"/>
          <w:szCs w:val="28"/>
        </w:rPr>
        <w:t xml:space="preserve">Многочисленными исследованиями установлено, что у женщин после 40 </w:t>
      </w:r>
      <w:r w:rsidR="00EA363A" w:rsidRPr="00366126">
        <w:rPr>
          <w:rFonts w:ascii="Times New Roman" w:hAnsi="Times New Roman"/>
          <w:sz w:val="28"/>
          <w:szCs w:val="28"/>
        </w:rPr>
        <w:t>лет выше</w:t>
      </w:r>
      <w:r w:rsidRPr="00366126">
        <w:rPr>
          <w:rFonts w:ascii="Times New Roman" w:hAnsi="Times New Roman"/>
          <w:sz w:val="28"/>
          <w:szCs w:val="28"/>
        </w:rPr>
        <w:t xml:space="preserve"> вероятность развития </w:t>
      </w:r>
      <w:r w:rsidR="00EA363A" w:rsidRPr="00366126">
        <w:rPr>
          <w:rFonts w:ascii="Times New Roman" w:hAnsi="Times New Roman"/>
          <w:sz w:val="28"/>
          <w:szCs w:val="28"/>
        </w:rPr>
        <w:t>ССЗ</w:t>
      </w:r>
      <w:r w:rsidRPr="00366126">
        <w:rPr>
          <w:rFonts w:ascii="Times New Roman" w:hAnsi="Times New Roman"/>
          <w:sz w:val="28"/>
          <w:szCs w:val="28"/>
        </w:rPr>
        <w:t xml:space="preserve"> и связанной с ними инвалидности и смертности, чем у </w:t>
      </w:r>
      <w:r w:rsidR="00EA363A" w:rsidRPr="00366126">
        <w:rPr>
          <w:rFonts w:ascii="Times New Roman" w:hAnsi="Times New Roman"/>
          <w:sz w:val="28"/>
          <w:szCs w:val="28"/>
        </w:rPr>
        <w:t>мужчин, что</w:t>
      </w:r>
      <w:r w:rsidRPr="00366126">
        <w:rPr>
          <w:rFonts w:ascii="Times New Roman" w:hAnsi="Times New Roman"/>
          <w:sz w:val="28"/>
          <w:szCs w:val="28"/>
        </w:rPr>
        <w:t xml:space="preserve"> обусловлено потерей эстрогенной «защиты», кроме того роль традиционных факторов риска у женщин не столь однозначна, как у мужчин, они не всегда «точно» предсказывают </w:t>
      </w:r>
      <w:r w:rsidR="00EA363A" w:rsidRPr="00366126">
        <w:rPr>
          <w:rFonts w:ascii="Times New Roman" w:hAnsi="Times New Roman"/>
          <w:sz w:val="28"/>
          <w:szCs w:val="28"/>
        </w:rPr>
        <w:t xml:space="preserve">риск развития ССЗ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1, 4, 8, 28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A363A" w:rsidRPr="00366126" w:rsidRDefault="00EA363A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ССЗ – главная причина смертности у женщин. Повышение риска ССЗ выявляется у 37,2% женщин в возрасте 40-59 лет, у 71,9% - в возрасте 60-79 лет, у 86,7 % – старше 80 лет.</w:t>
      </w:r>
    </w:p>
    <w:p w:rsidR="00AA146B" w:rsidRPr="00366126" w:rsidRDefault="00AA146B" w:rsidP="007C1B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Уменьшение количества эстрогенов у женщин среднего </w:t>
      </w:r>
      <w:r w:rsidR="00EA363A" w:rsidRPr="00366126">
        <w:rPr>
          <w:rFonts w:ascii="Times New Roman" w:hAnsi="Times New Roman"/>
          <w:sz w:val="28"/>
          <w:szCs w:val="28"/>
        </w:rPr>
        <w:t>возраста приводит</w:t>
      </w:r>
      <w:r w:rsidRPr="00366126">
        <w:rPr>
          <w:rFonts w:ascii="Times New Roman" w:hAnsi="Times New Roman"/>
          <w:sz w:val="28"/>
          <w:szCs w:val="28"/>
        </w:rPr>
        <w:t xml:space="preserve"> к увеличению уровня холестерина, развитию </w:t>
      </w:r>
      <w:proofErr w:type="spellStart"/>
      <w:r w:rsidRPr="00366126">
        <w:rPr>
          <w:rFonts w:ascii="Times New Roman" w:hAnsi="Times New Roman"/>
          <w:sz w:val="28"/>
          <w:szCs w:val="28"/>
        </w:rPr>
        <w:t>инсулино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-резистентности и сахарного диабета </w:t>
      </w:r>
      <w:r w:rsidR="00EA363A" w:rsidRPr="00366126">
        <w:rPr>
          <w:rFonts w:ascii="Times New Roman" w:hAnsi="Times New Roman"/>
          <w:sz w:val="28"/>
          <w:szCs w:val="28"/>
        </w:rPr>
        <w:t>2</w:t>
      </w:r>
      <w:r w:rsidRPr="00366126">
        <w:rPr>
          <w:rFonts w:ascii="Times New Roman" w:hAnsi="Times New Roman"/>
          <w:sz w:val="28"/>
          <w:szCs w:val="28"/>
        </w:rPr>
        <w:t xml:space="preserve"> типа, увеличению </w:t>
      </w:r>
      <w:r w:rsidR="00EA363A" w:rsidRPr="00366126">
        <w:rPr>
          <w:rFonts w:ascii="Times New Roman" w:hAnsi="Times New Roman"/>
          <w:sz w:val="28"/>
          <w:szCs w:val="28"/>
        </w:rPr>
        <w:t>веса, повышению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="00EA363A" w:rsidRPr="00366126">
        <w:rPr>
          <w:rFonts w:ascii="Times New Roman" w:hAnsi="Times New Roman"/>
          <w:sz w:val="28"/>
          <w:szCs w:val="28"/>
        </w:rPr>
        <w:t>АД</w:t>
      </w:r>
      <w:r w:rsidRPr="00366126">
        <w:rPr>
          <w:rFonts w:ascii="Times New Roman" w:hAnsi="Times New Roman"/>
          <w:sz w:val="28"/>
          <w:szCs w:val="28"/>
        </w:rPr>
        <w:t>; возникают нарушения электролитного обмена, что способствует возникновению аритмий</w:t>
      </w:r>
      <w:r w:rsidR="007C1B8B">
        <w:rPr>
          <w:rFonts w:ascii="Times New Roman" w:hAnsi="Times New Roman"/>
          <w:sz w:val="28"/>
          <w:szCs w:val="28"/>
        </w:rPr>
        <w:t xml:space="preserve"> </w:t>
      </w:r>
      <w:r w:rsidR="007C1B8B" w:rsidRPr="00A610D4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25, 29</w:t>
      </w:r>
      <w:r w:rsidR="007C1B8B" w:rsidRPr="00A610D4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EA363A" w:rsidRPr="00366126" w:rsidRDefault="00EA363A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Частота ИБС увеличивается уже в </w:t>
      </w:r>
      <w:proofErr w:type="spellStart"/>
      <w:r w:rsidRPr="00366126">
        <w:rPr>
          <w:rFonts w:ascii="Times New Roman" w:hAnsi="Times New Roman"/>
          <w:sz w:val="28"/>
          <w:szCs w:val="28"/>
        </w:rPr>
        <w:t>перименопаузе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, но экспоненциально возрастает в постменопаузе. Женщины реже подвергаются углубленному </w:t>
      </w:r>
      <w:r w:rsidRPr="00366126">
        <w:rPr>
          <w:rFonts w:ascii="Times New Roman" w:hAnsi="Times New Roman"/>
          <w:sz w:val="28"/>
          <w:szCs w:val="28"/>
        </w:rPr>
        <w:lastRenderedPageBreak/>
        <w:t>дополнительному обследованию (например, коронарной ангиографии), что приводит к запоздалой медицинской помощи, особенно при необходимости срочного хирургическо</w:t>
      </w:r>
      <w:r w:rsidR="007C1B8B">
        <w:rPr>
          <w:rFonts w:ascii="Times New Roman" w:hAnsi="Times New Roman"/>
          <w:sz w:val="28"/>
          <w:szCs w:val="28"/>
        </w:rPr>
        <w:t xml:space="preserve">го лечения, что ухудшает исход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1, 2, 3, 4, 8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</w:p>
    <w:p w:rsidR="00EA363A" w:rsidRPr="00366126" w:rsidRDefault="007C1B8B" w:rsidP="007C1B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</w:t>
      </w:r>
      <w:r w:rsidR="00EA363A" w:rsidRPr="00366126">
        <w:rPr>
          <w:rFonts w:ascii="Times New Roman" w:hAnsi="Times New Roman"/>
          <w:sz w:val="28"/>
          <w:szCs w:val="28"/>
        </w:rPr>
        <w:t xml:space="preserve"> 1/5 женщин при наличии ишемии миокарда и типичных «болей за грудиной» не выявляется никаких нарушений, что может быть связано с быстро развивающейся у женщин в постменопаузе эндотелиальной дисфункцией и с нарушением процессов микроциркуляции в сердечной мышце задолго до появления структурных атеросклеротических изменений в стенке сосудов. Риск инсульта удваивается в течение первого десятилетия</w:t>
      </w:r>
      <w:r>
        <w:rPr>
          <w:rFonts w:ascii="Times New Roman" w:hAnsi="Times New Roman"/>
          <w:sz w:val="28"/>
          <w:szCs w:val="28"/>
        </w:rPr>
        <w:t xml:space="preserve"> после прекращения менструаций </w:t>
      </w:r>
      <w:r w:rsidRPr="007C1B8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1, 25</w:t>
      </w:r>
      <w:r w:rsidRPr="007C1B8B">
        <w:rPr>
          <w:rFonts w:ascii="Times New Roman" w:hAnsi="Times New Roman"/>
          <w:sz w:val="28"/>
          <w:szCs w:val="28"/>
        </w:rPr>
        <w:t>]</w:t>
      </w:r>
      <w:r w:rsidR="00EA363A" w:rsidRPr="00366126">
        <w:rPr>
          <w:rFonts w:ascii="Times New Roman" w:hAnsi="Times New Roman"/>
          <w:sz w:val="28"/>
          <w:szCs w:val="28"/>
        </w:rPr>
        <w:t>.</w:t>
      </w:r>
    </w:p>
    <w:p w:rsidR="00122D23" w:rsidRPr="00366126" w:rsidRDefault="00122D23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26">
        <w:rPr>
          <w:rFonts w:ascii="Times New Roman" w:hAnsi="Times New Roman"/>
          <w:sz w:val="28"/>
          <w:szCs w:val="28"/>
        </w:rPr>
        <w:t xml:space="preserve">Вскоре после начала менопаузы практически у всех женщин повышается АД, а риск ишемической болезни сердца (ИБС) без </w:t>
      </w:r>
      <w:proofErr w:type="spellStart"/>
      <w:r w:rsidRPr="00366126">
        <w:rPr>
          <w:rFonts w:ascii="Times New Roman" w:hAnsi="Times New Roman"/>
          <w:sz w:val="28"/>
          <w:szCs w:val="28"/>
        </w:rPr>
        <w:t>протективной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поддержки </w:t>
      </w:r>
      <w:r w:rsidR="007C1B8B">
        <w:rPr>
          <w:rFonts w:ascii="Times New Roman" w:hAnsi="Times New Roman"/>
          <w:sz w:val="28"/>
          <w:szCs w:val="28"/>
        </w:rPr>
        <w:t xml:space="preserve">эстрогенами повышен трехкратно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14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, а ранняя менопауза (в 40-45 лет семикратно повышает риск развития ИБС в каждую следующу</w:t>
      </w:r>
      <w:r w:rsidR="007C1B8B">
        <w:rPr>
          <w:rFonts w:ascii="Times New Roman" w:hAnsi="Times New Roman"/>
          <w:sz w:val="28"/>
          <w:szCs w:val="28"/>
        </w:rPr>
        <w:t xml:space="preserve">ю декаду жизни </w:t>
      </w:r>
      <w:r w:rsidR="007C1B8B" w:rsidRPr="007C1B8B">
        <w:rPr>
          <w:rFonts w:ascii="Times New Roman" w:hAnsi="Times New Roman"/>
          <w:sz w:val="28"/>
          <w:szCs w:val="28"/>
        </w:rPr>
        <w:t>[</w:t>
      </w:r>
      <w:r w:rsidR="007C1B8B">
        <w:rPr>
          <w:rFonts w:ascii="Times New Roman" w:hAnsi="Times New Roman"/>
          <w:sz w:val="28"/>
          <w:szCs w:val="28"/>
        </w:rPr>
        <w:t>1, 3, 4, 10</w:t>
      </w:r>
      <w:r w:rsidR="007C1B8B" w:rsidRPr="007C1B8B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A363A" w:rsidRPr="007C1B8B" w:rsidRDefault="00EA363A" w:rsidP="007C1B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Немаловажным является выявление образа жизни, включающего курение, злоупотребление алкоголем, степень физической</w:t>
      </w:r>
      <w:r w:rsidR="007C1B8B">
        <w:rPr>
          <w:rFonts w:ascii="Times New Roman" w:hAnsi="Times New Roman"/>
          <w:sz w:val="28"/>
          <w:szCs w:val="28"/>
          <w:lang w:eastAsia="en-US"/>
        </w:rPr>
        <w:t xml:space="preserve"> активности и качество питания.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Какие симптомы нельзя игнорировать женщинам среднего возраста: </w:t>
      </w:r>
      <w:r w:rsidRPr="00366126">
        <w:rPr>
          <w:rFonts w:ascii="Times New Roman" w:hAnsi="Times New Roman"/>
          <w:sz w:val="28"/>
          <w:szCs w:val="28"/>
        </w:rPr>
        <w:t>нарушения ритма сердца – учащение пульса, нерегулярный пульс, перебои; одышка – появление изменений в переносимости нагрузок; боли за грудиной сжимающего, распирающего характера, ощущение жжения, чувство тяжести; головные боли (особенно в затылочной области) и шум в ушах, являющиеся признаками высокого артериального давления; головокружение может быть вызвано рядом расстройств, включая диабет, сердечную недостаточность или аритмию, такую как фибрилляция предсердий; отеки на ногах; боль в руке, лопатке, нижней челюсти – признаки ишемии сердца; неспособность лежать в горизонтальном положении  – признак ишемии аппарата митрального клапана и его недостаточность.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lastRenderedPageBreak/>
        <w:t xml:space="preserve">Очень важным для врача и самой пациентки является проведение дифференциальной диагностики между симптомами </w:t>
      </w:r>
      <w:r w:rsidR="00122D23" w:rsidRPr="00366126">
        <w:rPr>
          <w:rFonts w:ascii="Times New Roman" w:hAnsi="Times New Roman"/>
          <w:sz w:val="28"/>
          <w:szCs w:val="28"/>
        </w:rPr>
        <w:t>ИБС и</w:t>
      </w:r>
      <w:r w:rsidRPr="00366126">
        <w:rPr>
          <w:rFonts w:ascii="Times New Roman" w:hAnsi="Times New Roman"/>
          <w:sz w:val="28"/>
          <w:szCs w:val="28"/>
        </w:rPr>
        <w:t xml:space="preserve"> симптомами климактерического синдрома (</w:t>
      </w:r>
      <w:r w:rsidR="007C1B8B">
        <w:rPr>
          <w:rFonts w:ascii="Times New Roman" w:hAnsi="Times New Roman"/>
          <w:sz w:val="28"/>
          <w:szCs w:val="28"/>
        </w:rPr>
        <w:t>Таб</w:t>
      </w:r>
      <w:r w:rsidR="00A610D4">
        <w:rPr>
          <w:rFonts w:ascii="Times New Roman" w:hAnsi="Times New Roman"/>
          <w:sz w:val="28"/>
          <w:szCs w:val="28"/>
        </w:rPr>
        <w:t>л</w:t>
      </w:r>
      <w:r w:rsidR="007C1B8B">
        <w:rPr>
          <w:rFonts w:ascii="Times New Roman" w:hAnsi="Times New Roman"/>
          <w:sz w:val="28"/>
          <w:szCs w:val="28"/>
        </w:rPr>
        <w:t>.</w:t>
      </w:r>
      <w:r w:rsidRPr="00366126">
        <w:rPr>
          <w:rFonts w:ascii="Times New Roman" w:hAnsi="Times New Roman"/>
          <w:sz w:val="28"/>
          <w:szCs w:val="28"/>
        </w:rPr>
        <w:t xml:space="preserve"> 1).</w:t>
      </w:r>
    </w:p>
    <w:p w:rsidR="00AA146B" w:rsidRPr="00366126" w:rsidRDefault="00AA146B" w:rsidP="007C1B8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Таблица 1. </w:t>
      </w:r>
      <w:r w:rsidRPr="00366126">
        <w:rPr>
          <w:rFonts w:ascii="Times New Roman" w:hAnsi="Times New Roman"/>
          <w:sz w:val="28"/>
          <w:szCs w:val="28"/>
        </w:rPr>
        <w:t xml:space="preserve">Дифференциальная диагностика между симптомами </w:t>
      </w:r>
      <w:r w:rsidR="00122D23" w:rsidRPr="00366126">
        <w:rPr>
          <w:rFonts w:ascii="Times New Roman" w:hAnsi="Times New Roman"/>
          <w:sz w:val="28"/>
          <w:szCs w:val="28"/>
        </w:rPr>
        <w:t>ИБС и</w:t>
      </w:r>
      <w:r w:rsidRPr="00366126">
        <w:rPr>
          <w:rFonts w:ascii="Times New Roman" w:hAnsi="Times New Roman"/>
          <w:sz w:val="28"/>
          <w:szCs w:val="28"/>
        </w:rPr>
        <w:t xml:space="preserve"> симптомами климактерического синдрома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A146B" w:rsidRPr="00366126" w:rsidTr="007C1B8B">
        <w:tc>
          <w:tcPr>
            <w:tcW w:w="5341" w:type="dxa"/>
            <w:vAlign w:val="center"/>
          </w:tcPr>
          <w:p w:rsidR="00AA146B" w:rsidRPr="00366126" w:rsidRDefault="00AA146B" w:rsidP="007C1B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Симптомы климактерического синдрома</w:t>
            </w:r>
          </w:p>
        </w:tc>
        <w:tc>
          <w:tcPr>
            <w:tcW w:w="5341" w:type="dxa"/>
            <w:vAlign w:val="center"/>
          </w:tcPr>
          <w:p w:rsidR="00AA146B" w:rsidRPr="00366126" w:rsidRDefault="00AA146B" w:rsidP="007C1B8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Симптомы ИБС</w:t>
            </w:r>
          </w:p>
        </w:tc>
      </w:tr>
      <w:tr w:rsidR="00AA146B" w:rsidRPr="00366126" w:rsidTr="00AA146B"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Нейро-вегетативные</w:t>
            </w:r>
            <w:proofErr w:type="gramEnd"/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Сердцебиение в покое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Колебания АД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Нарушения сна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Симпато-адреналовые</w:t>
            </w:r>
            <w:proofErr w:type="gramEnd"/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кризы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Боли в сердце ночью и в покое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Отеки</w:t>
            </w:r>
          </w:p>
        </w:tc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Нейро-вегетативные</w:t>
            </w:r>
            <w:proofErr w:type="gramEnd"/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Сердцебиение 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Колебания АД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Нарушения сна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Боли в сердце рано утром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Боли в сердце и/или в покое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Отеки</w:t>
            </w:r>
          </w:p>
        </w:tc>
      </w:tr>
      <w:tr w:rsidR="00AA146B" w:rsidRPr="00366126" w:rsidTr="00122D23">
        <w:trPr>
          <w:trHeight w:val="1691"/>
        </w:trPr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Метаболические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СД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Развитие/увеличение ожирения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функции щитовидной железы</w:t>
            </w:r>
          </w:p>
        </w:tc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Метаболические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Наличие СД</w:t>
            </w:r>
          </w:p>
          <w:p w:rsidR="00AA146B" w:rsidRPr="00366126" w:rsidRDefault="00AA146B" w:rsidP="00E32AC5">
            <w:pPr>
              <w:tabs>
                <w:tab w:val="left" w:pos="60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32A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нарушений липидного обмена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146B" w:rsidRPr="00366126" w:rsidTr="00122D23">
        <w:trPr>
          <w:trHeight w:val="1108"/>
        </w:trPr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Психоэмоциональные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AA146B" w:rsidRPr="00366126" w:rsidRDefault="00AA146B" w:rsidP="00122D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аппетита</w:t>
            </w:r>
          </w:p>
        </w:tc>
        <w:tc>
          <w:tcPr>
            <w:tcW w:w="5341" w:type="dxa"/>
          </w:tcPr>
          <w:p w:rsidR="00AA146B" w:rsidRPr="00366126" w:rsidRDefault="00AA146B" w:rsidP="00122D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Психоэмоциональные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AA146B" w:rsidRPr="00366126" w:rsidRDefault="00AA146B" w:rsidP="0012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126">
              <w:rPr>
                <w:rFonts w:ascii="Times New Roman" w:eastAsia="Calibri" w:hAnsi="Times New Roman" w:cs="Times New Roman"/>
                <w:sz w:val="28"/>
                <w:szCs w:val="28"/>
              </w:rPr>
              <w:t>- Страх смерти</w:t>
            </w:r>
          </w:p>
        </w:tc>
      </w:tr>
    </w:tbl>
    <w:p w:rsidR="00AA146B" w:rsidRPr="00366126" w:rsidRDefault="00AA146B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Климактерическая </w:t>
      </w:r>
      <w:proofErr w:type="spellStart"/>
      <w:r w:rsidRPr="00366126">
        <w:rPr>
          <w:rFonts w:ascii="Times New Roman" w:hAnsi="Times New Roman"/>
          <w:b/>
          <w:sz w:val="28"/>
          <w:szCs w:val="28"/>
        </w:rPr>
        <w:t>кардиомиопатия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66126">
        <w:rPr>
          <w:rFonts w:ascii="Times New Roman" w:hAnsi="Times New Roman"/>
          <w:sz w:val="28"/>
          <w:szCs w:val="28"/>
        </w:rPr>
        <w:t>невоспалительное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заболевание миокарда, в основе которого лежит нарушение метаболизма в сердечной мышце. Данное состояние проявляется дистрофией миокарда, возникающее за счет эндокринных, </w:t>
      </w:r>
      <w:proofErr w:type="gramStart"/>
      <w:r w:rsidRPr="00366126">
        <w:rPr>
          <w:rFonts w:ascii="Times New Roman" w:hAnsi="Times New Roman"/>
          <w:sz w:val="28"/>
          <w:szCs w:val="28"/>
        </w:rPr>
        <w:t>нейро-</w:t>
      </w:r>
      <w:r w:rsidR="00122D23" w:rsidRPr="00366126">
        <w:rPr>
          <w:rFonts w:ascii="Times New Roman" w:hAnsi="Times New Roman"/>
          <w:sz w:val="28"/>
          <w:szCs w:val="28"/>
        </w:rPr>
        <w:t>вегетативных</w:t>
      </w:r>
      <w:proofErr w:type="gramEnd"/>
      <w:r w:rsidR="00122D23" w:rsidRPr="00366126">
        <w:rPr>
          <w:rFonts w:ascii="Times New Roman" w:hAnsi="Times New Roman"/>
          <w:sz w:val="28"/>
          <w:szCs w:val="28"/>
        </w:rPr>
        <w:t xml:space="preserve"> нарушений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="00122D23" w:rsidRPr="00366126">
        <w:rPr>
          <w:rFonts w:ascii="Times New Roman" w:hAnsi="Times New Roman"/>
          <w:sz w:val="28"/>
          <w:szCs w:val="28"/>
        </w:rPr>
        <w:t>и обусловленное</w:t>
      </w:r>
      <w:r w:rsidRPr="00366126">
        <w:rPr>
          <w:rFonts w:ascii="Times New Roman" w:hAnsi="Times New Roman"/>
          <w:sz w:val="28"/>
          <w:szCs w:val="28"/>
        </w:rPr>
        <w:t xml:space="preserve"> гормональной перестройкой.</w:t>
      </w:r>
    </w:p>
    <w:p w:rsidR="00AA146B" w:rsidRPr="00366126" w:rsidRDefault="00AA146B" w:rsidP="00E32AC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Нейро-</w:t>
      </w:r>
      <w:r w:rsidR="00122D23" w:rsidRPr="00366126">
        <w:rPr>
          <w:rFonts w:ascii="Times New Roman" w:hAnsi="Times New Roman"/>
          <w:sz w:val="28"/>
          <w:szCs w:val="28"/>
        </w:rPr>
        <w:t>вегетативные нарушения</w:t>
      </w:r>
      <w:r w:rsidRPr="00366126">
        <w:rPr>
          <w:rFonts w:ascii="Times New Roman" w:hAnsi="Times New Roman"/>
          <w:sz w:val="28"/>
          <w:szCs w:val="28"/>
        </w:rPr>
        <w:t xml:space="preserve"> приводят </w:t>
      </w:r>
      <w:r w:rsidR="00122D23" w:rsidRPr="00366126">
        <w:rPr>
          <w:rFonts w:ascii="Times New Roman" w:hAnsi="Times New Roman"/>
          <w:sz w:val="28"/>
          <w:szCs w:val="28"/>
        </w:rPr>
        <w:t>к повышению</w:t>
      </w:r>
      <w:r w:rsidRPr="00366126">
        <w:rPr>
          <w:rFonts w:ascii="Times New Roman" w:hAnsi="Times New Roman"/>
          <w:sz w:val="28"/>
          <w:szCs w:val="28"/>
        </w:rPr>
        <w:t xml:space="preserve"> тонуса </w:t>
      </w:r>
      <w:r w:rsidR="00122D23" w:rsidRPr="00366126">
        <w:rPr>
          <w:rFonts w:ascii="Times New Roman" w:hAnsi="Times New Roman"/>
          <w:sz w:val="28"/>
          <w:szCs w:val="28"/>
        </w:rPr>
        <w:t>симпатической нервной системы (СНС),</w:t>
      </w:r>
      <w:r w:rsidRPr="00366126">
        <w:rPr>
          <w:rFonts w:ascii="Times New Roman" w:hAnsi="Times New Roman"/>
          <w:sz w:val="28"/>
          <w:szCs w:val="28"/>
        </w:rPr>
        <w:t xml:space="preserve"> усилению адренергических влияний на сердце, повышенной экскреции катехоламинов, изменению электролитного дисбаланса: снижению содержания</w:t>
      </w:r>
      <w:proofErr w:type="gramStart"/>
      <w:r w:rsidRPr="0036612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66126">
        <w:rPr>
          <w:rFonts w:ascii="Times New Roman" w:hAnsi="Times New Roman"/>
          <w:sz w:val="28"/>
          <w:szCs w:val="28"/>
          <w:vertAlign w:val="superscript"/>
        </w:rPr>
        <w:t>+</w:t>
      </w:r>
      <w:r w:rsidRPr="00366126">
        <w:rPr>
          <w:rFonts w:ascii="Times New Roman" w:hAnsi="Times New Roman"/>
          <w:sz w:val="28"/>
          <w:szCs w:val="28"/>
        </w:rPr>
        <w:t xml:space="preserve"> в крови, повышению содержания </w:t>
      </w:r>
      <w:r w:rsidRPr="00366126">
        <w:rPr>
          <w:rFonts w:ascii="Times New Roman" w:hAnsi="Times New Roman"/>
          <w:sz w:val="28"/>
          <w:szCs w:val="28"/>
          <w:lang w:val="en-US"/>
        </w:rPr>
        <w:t>Mg</w:t>
      </w:r>
      <w:r w:rsidRPr="00366126">
        <w:rPr>
          <w:rFonts w:ascii="Times New Roman" w:hAnsi="Times New Roman"/>
          <w:sz w:val="28"/>
          <w:szCs w:val="28"/>
          <w:vertAlign w:val="superscript"/>
        </w:rPr>
        <w:t>++</w:t>
      </w:r>
      <w:r w:rsidRPr="00366126">
        <w:rPr>
          <w:rFonts w:ascii="Times New Roman" w:hAnsi="Times New Roman"/>
          <w:sz w:val="28"/>
          <w:szCs w:val="28"/>
        </w:rPr>
        <w:t xml:space="preserve"> в крови, изменению соотношений </w:t>
      </w:r>
      <w:r w:rsidRPr="00366126">
        <w:rPr>
          <w:rFonts w:ascii="Times New Roman" w:hAnsi="Times New Roman"/>
          <w:sz w:val="28"/>
          <w:szCs w:val="28"/>
          <w:lang w:val="en-US"/>
        </w:rPr>
        <w:t>Na</w:t>
      </w:r>
      <w:r w:rsidRPr="00366126">
        <w:rPr>
          <w:rFonts w:ascii="Times New Roman" w:hAnsi="Times New Roman"/>
          <w:sz w:val="28"/>
          <w:szCs w:val="28"/>
          <w:vertAlign w:val="superscript"/>
        </w:rPr>
        <w:t>+</w:t>
      </w:r>
      <w:r w:rsidRPr="00366126">
        <w:rPr>
          <w:rFonts w:ascii="Times New Roman" w:hAnsi="Times New Roman"/>
          <w:sz w:val="28"/>
          <w:szCs w:val="28"/>
        </w:rPr>
        <w:t>/</w:t>
      </w:r>
      <w:r w:rsidRPr="00366126">
        <w:rPr>
          <w:rFonts w:ascii="Times New Roman" w:hAnsi="Times New Roman"/>
          <w:sz w:val="28"/>
          <w:szCs w:val="28"/>
          <w:lang w:val="en-US"/>
        </w:rPr>
        <w:t>K</w:t>
      </w:r>
      <w:r w:rsidRPr="00366126">
        <w:rPr>
          <w:rFonts w:ascii="Times New Roman" w:hAnsi="Times New Roman"/>
          <w:sz w:val="28"/>
          <w:szCs w:val="28"/>
          <w:vertAlign w:val="superscript"/>
        </w:rPr>
        <w:t>+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="00122D23" w:rsidRPr="0036612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22D23" w:rsidRPr="00366126">
        <w:rPr>
          <w:rFonts w:ascii="Times New Roman" w:hAnsi="Times New Roman"/>
          <w:sz w:val="28"/>
          <w:szCs w:val="28"/>
        </w:rPr>
        <w:t>Ca</w:t>
      </w:r>
      <w:proofErr w:type="spellEnd"/>
      <w:r w:rsidRPr="00366126">
        <w:rPr>
          <w:rFonts w:ascii="Times New Roman" w:hAnsi="Times New Roman"/>
          <w:sz w:val="28"/>
          <w:szCs w:val="28"/>
          <w:vertAlign w:val="superscript"/>
        </w:rPr>
        <w:t>++</w:t>
      </w:r>
      <w:r w:rsidRPr="00366126">
        <w:rPr>
          <w:rFonts w:ascii="Times New Roman" w:hAnsi="Times New Roman"/>
          <w:sz w:val="28"/>
          <w:szCs w:val="28"/>
        </w:rPr>
        <w:t>/</w:t>
      </w:r>
      <w:r w:rsidRPr="00366126">
        <w:rPr>
          <w:rFonts w:ascii="Times New Roman" w:hAnsi="Times New Roman"/>
          <w:sz w:val="28"/>
          <w:szCs w:val="28"/>
          <w:lang w:val="en-US"/>
        </w:rPr>
        <w:t>Mg</w:t>
      </w:r>
      <w:r w:rsidRPr="00366126">
        <w:rPr>
          <w:rFonts w:ascii="Times New Roman" w:hAnsi="Times New Roman"/>
          <w:sz w:val="28"/>
          <w:szCs w:val="28"/>
          <w:vertAlign w:val="superscript"/>
        </w:rPr>
        <w:t>++</w:t>
      </w:r>
      <w:r w:rsidR="00E32AC5" w:rsidRPr="00E32A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32AC5" w:rsidRPr="00E32AC5">
        <w:rPr>
          <w:rFonts w:ascii="Times New Roman" w:hAnsi="Times New Roman"/>
          <w:sz w:val="28"/>
          <w:szCs w:val="28"/>
        </w:rPr>
        <w:t>[</w:t>
      </w:r>
      <w:r w:rsidR="00E32AC5">
        <w:rPr>
          <w:rFonts w:ascii="Times New Roman" w:hAnsi="Times New Roman"/>
          <w:sz w:val="28"/>
          <w:szCs w:val="28"/>
        </w:rPr>
        <w:t>10, 11</w:t>
      </w:r>
      <w:r w:rsidR="00E32AC5" w:rsidRPr="00E32AC5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lastRenderedPageBreak/>
        <w:t xml:space="preserve">Климактерическая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кардиомиопатия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развивается у 20% женщин до наступления расстройств менструальной функции; у 30% - в период менопаузы; у 50% - с наступлением расстройств менструальной функции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Основным симптомом климактерической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кардиомипатии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является болевые ощущения в сердце тянущего или резкого характера. Боль может возникать внезапно или при физических нагрузках. Также пациентки жалуются на головокружения, ком в горле, нехватку воздуха, ощущение холода в конечностях, шум в ушах, слабость, быструю утомляемость, учащённое сердцебиение, раздражительность, нарушения сна, повышенное потоотделение, аритмию, перепады настроения;</w:t>
      </w:r>
    </w:p>
    <w:p w:rsidR="00AA146B" w:rsidRPr="00E32AC5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На фоне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кардиомиопатии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часто развивается </w:t>
      </w:r>
      <w:proofErr w:type="spellStart"/>
      <w:r w:rsidRPr="00366126">
        <w:rPr>
          <w:rFonts w:ascii="Times New Roman" w:hAnsi="Times New Roman"/>
          <w:sz w:val="28"/>
          <w:szCs w:val="28"/>
        </w:rPr>
        <w:t>кардиалгия</w:t>
      </w:r>
      <w:proofErr w:type="spellEnd"/>
      <w:r w:rsidRPr="00366126">
        <w:rPr>
          <w:rFonts w:ascii="Times New Roman" w:hAnsi="Times New Roman"/>
          <w:sz w:val="28"/>
          <w:szCs w:val="28"/>
        </w:rPr>
        <w:t>, тогда болевые ощущения будут отдавать в чел</w:t>
      </w:r>
      <w:r w:rsidR="00E32AC5">
        <w:rPr>
          <w:rFonts w:ascii="Times New Roman" w:hAnsi="Times New Roman"/>
          <w:sz w:val="28"/>
          <w:szCs w:val="28"/>
        </w:rPr>
        <w:t>юсть и лопатку с левой стороны.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Обследование пациенток среднего </w:t>
      </w:r>
      <w:r w:rsidR="00122D23" w:rsidRPr="00366126">
        <w:rPr>
          <w:rFonts w:ascii="Times New Roman" w:hAnsi="Times New Roman"/>
          <w:b/>
          <w:sz w:val="28"/>
          <w:szCs w:val="28"/>
        </w:rPr>
        <w:t>возраста с</w:t>
      </w:r>
      <w:r w:rsidRPr="00366126">
        <w:rPr>
          <w:rFonts w:ascii="Times New Roman" w:hAnsi="Times New Roman"/>
          <w:b/>
          <w:sz w:val="28"/>
          <w:szCs w:val="28"/>
        </w:rPr>
        <w:t xml:space="preserve"> ССЗ</w:t>
      </w:r>
      <w:r w:rsidR="00122D23" w:rsidRPr="00366126">
        <w:rPr>
          <w:rFonts w:ascii="Times New Roman" w:hAnsi="Times New Roman"/>
          <w:b/>
          <w:sz w:val="28"/>
          <w:szCs w:val="28"/>
        </w:rPr>
        <w:t xml:space="preserve">: </w:t>
      </w:r>
    </w:p>
    <w:p w:rsidR="00AA146B" w:rsidRPr="00366126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Сбор </w:t>
      </w:r>
      <w:r w:rsidR="00AA146B" w:rsidRPr="00366126">
        <w:rPr>
          <w:rFonts w:ascii="Times New Roman" w:hAnsi="Times New Roman"/>
          <w:sz w:val="28"/>
          <w:szCs w:val="28"/>
        </w:rPr>
        <w:t xml:space="preserve">жалоб, полного наследственного, гинекологического анамнеза, </w:t>
      </w:r>
      <w:r w:rsidRPr="00366126">
        <w:rPr>
          <w:rFonts w:ascii="Times New Roman" w:hAnsi="Times New Roman"/>
          <w:sz w:val="28"/>
          <w:szCs w:val="28"/>
        </w:rPr>
        <w:t xml:space="preserve">информации о </w:t>
      </w:r>
      <w:r w:rsidR="00AA146B" w:rsidRPr="00366126">
        <w:rPr>
          <w:rFonts w:ascii="Times New Roman" w:hAnsi="Times New Roman"/>
          <w:sz w:val="28"/>
          <w:szCs w:val="28"/>
        </w:rPr>
        <w:t>вредных привыч</w:t>
      </w:r>
      <w:r w:rsidRPr="00366126">
        <w:rPr>
          <w:rFonts w:ascii="Times New Roman" w:hAnsi="Times New Roman"/>
          <w:sz w:val="28"/>
          <w:szCs w:val="28"/>
        </w:rPr>
        <w:t>ках</w:t>
      </w:r>
      <w:r w:rsidR="00AA146B" w:rsidRPr="00366126">
        <w:rPr>
          <w:rFonts w:ascii="Times New Roman" w:hAnsi="Times New Roman"/>
          <w:sz w:val="28"/>
          <w:szCs w:val="28"/>
        </w:rPr>
        <w:t>, профессиональных вредност</w:t>
      </w:r>
      <w:r w:rsidRPr="00366126">
        <w:rPr>
          <w:rFonts w:ascii="Times New Roman" w:hAnsi="Times New Roman"/>
          <w:sz w:val="28"/>
          <w:szCs w:val="28"/>
        </w:rPr>
        <w:t>ях</w:t>
      </w:r>
      <w:r w:rsidR="00122D23"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AA146B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Суточный мониторинг АД</w:t>
      </w:r>
      <w:r w:rsidR="00122D23" w:rsidRPr="00366126">
        <w:rPr>
          <w:rFonts w:ascii="Times New Roman" w:hAnsi="Times New Roman"/>
          <w:sz w:val="28"/>
          <w:szCs w:val="28"/>
        </w:rPr>
        <w:t>,</w:t>
      </w:r>
      <w:r w:rsidRPr="00366126">
        <w:rPr>
          <w:rFonts w:ascii="Times New Roman" w:hAnsi="Times New Roman"/>
          <w:sz w:val="28"/>
          <w:szCs w:val="28"/>
        </w:rPr>
        <w:t xml:space="preserve"> ЭКГ</w:t>
      </w:r>
      <w:r w:rsidR="002F663C" w:rsidRPr="00366126">
        <w:rPr>
          <w:rFonts w:ascii="Times New Roman" w:hAnsi="Times New Roman"/>
          <w:sz w:val="28"/>
          <w:szCs w:val="28"/>
        </w:rPr>
        <w:t xml:space="preserve"> (</w:t>
      </w:r>
      <w:r w:rsidRPr="00366126">
        <w:rPr>
          <w:rFonts w:ascii="Times New Roman" w:hAnsi="Times New Roman"/>
          <w:sz w:val="28"/>
          <w:szCs w:val="28"/>
        </w:rPr>
        <w:t>включая суточный мониторинг</w:t>
      </w:r>
      <w:r w:rsidR="002F663C" w:rsidRPr="00366126">
        <w:rPr>
          <w:rFonts w:ascii="Times New Roman" w:hAnsi="Times New Roman"/>
          <w:sz w:val="28"/>
          <w:szCs w:val="28"/>
        </w:rPr>
        <w:t>)</w:t>
      </w:r>
      <w:r w:rsidRPr="00366126">
        <w:rPr>
          <w:rFonts w:ascii="Times New Roman" w:hAnsi="Times New Roman"/>
          <w:sz w:val="28"/>
          <w:szCs w:val="28"/>
        </w:rPr>
        <w:t xml:space="preserve"> и нагрузочные пробы</w:t>
      </w:r>
      <w:r w:rsidR="00122D23"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Ультразвуко</w:t>
      </w:r>
      <w:r w:rsidR="002F663C" w:rsidRPr="00366126">
        <w:rPr>
          <w:rFonts w:ascii="Times New Roman" w:hAnsi="Times New Roman"/>
          <w:sz w:val="28"/>
          <w:szCs w:val="28"/>
        </w:rPr>
        <w:t>вая допплерография брахиоцефальных артерий</w:t>
      </w:r>
      <w:r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Исследование ф</w:t>
      </w:r>
      <w:r w:rsidR="00AA146B" w:rsidRPr="00366126">
        <w:rPr>
          <w:rFonts w:ascii="Times New Roman" w:hAnsi="Times New Roman"/>
          <w:sz w:val="28"/>
          <w:szCs w:val="28"/>
        </w:rPr>
        <w:t>ункционально</w:t>
      </w:r>
      <w:r w:rsidRPr="00366126">
        <w:rPr>
          <w:rFonts w:ascii="Times New Roman" w:hAnsi="Times New Roman"/>
          <w:sz w:val="28"/>
          <w:szCs w:val="28"/>
        </w:rPr>
        <w:t>го</w:t>
      </w:r>
      <w:r w:rsidR="00AA146B" w:rsidRPr="00366126">
        <w:rPr>
          <w:rFonts w:ascii="Times New Roman" w:hAnsi="Times New Roman"/>
          <w:sz w:val="28"/>
          <w:szCs w:val="28"/>
        </w:rPr>
        <w:t xml:space="preserve"> состояни</w:t>
      </w:r>
      <w:r w:rsidRPr="00366126">
        <w:rPr>
          <w:rFonts w:ascii="Times New Roman" w:hAnsi="Times New Roman"/>
          <w:sz w:val="28"/>
          <w:szCs w:val="28"/>
        </w:rPr>
        <w:t>я</w:t>
      </w:r>
      <w:r w:rsidR="00AA146B" w:rsidRPr="00366126">
        <w:rPr>
          <w:rFonts w:ascii="Times New Roman" w:hAnsi="Times New Roman"/>
          <w:sz w:val="28"/>
          <w:szCs w:val="28"/>
        </w:rPr>
        <w:t xml:space="preserve"> почек (фил</w:t>
      </w:r>
      <w:r w:rsidR="00122D23" w:rsidRPr="00366126">
        <w:rPr>
          <w:rFonts w:ascii="Times New Roman" w:hAnsi="Times New Roman"/>
          <w:sz w:val="28"/>
          <w:szCs w:val="28"/>
        </w:rPr>
        <w:t xml:space="preserve">ьтрационная и концентрационная </w:t>
      </w:r>
      <w:r w:rsidR="00AA146B" w:rsidRPr="00366126">
        <w:rPr>
          <w:rFonts w:ascii="Times New Roman" w:hAnsi="Times New Roman"/>
          <w:sz w:val="28"/>
          <w:szCs w:val="28"/>
        </w:rPr>
        <w:t>способности, инструментальные и радиоизотопные методы)</w:t>
      </w:r>
      <w:r w:rsidR="00122D23"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Диагностика </w:t>
      </w:r>
      <w:r w:rsidR="00AA146B" w:rsidRPr="00366126">
        <w:rPr>
          <w:rFonts w:ascii="Times New Roman" w:hAnsi="Times New Roman"/>
          <w:sz w:val="28"/>
          <w:szCs w:val="28"/>
        </w:rPr>
        <w:t>альбуминурии</w:t>
      </w:r>
      <w:r w:rsidRPr="00366126">
        <w:rPr>
          <w:rFonts w:ascii="Times New Roman" w:hAnsi="Times New Roman"/>
          <w:sz w:val="28"/>
          <w:szCs w:val="28"/>
        </w:rPr>
        <w:t>;</w:t>
      </w:r>
    </w:p>
    <w:p w:rsidR="00AA146B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Липидограмма;</w:t>
      </w:r>
    </w:p>
    <w:p w:rsidR="00122D23" w:rsidRPr="00366126" w:rsidRDefault="00122D23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Определение уровня г</w:t>
      </w:r>
      <w:r w:rsidR="00AA146B" w:rsidRPr="00366126">
        <w:rPr>
          <w:rFonts w:ascii="Times New Roman" w:hAnsi="Times New Roman"/>
          <w:sz w:val="28"/>
          <w:szCs w:val="28"/>
        </w:rPr>
        <w:t>люкоз</w:t>
      </w:r>
      <w:r w:rsidRPr="00366126">
        <w:rPr>
          <w:rFonts w:ascii="Times New Roman" w:hAnsi="Times New Roman"/>
          <w:sz w:val="28"/>
          <w:szCs w:val="28"/>
        </w:rPr>
        <w:t>ы</w:t>
      </w:r>
      <w:r w:rsidR="00AA146B" w:rsidRPr="00366126">
        <w:rPr>
          <w:rFonts w:ascii="Times New Roman" w:hAnsi="Times New Roman"/>
          <w:sz w:val="28"/>
          <w:szCs w:val="28"/>
        </w:rPr>
        <w:t xml:space="preserve"> натощак, глик</w:t>
      </w:r>
      <w:r w:rsidRPr="00366126">
        <w:rPr>
          <w:rFonts w:ascii="Times New Roman" w:hAnsi="Times New Roman"/>
          <w:sz w:val="28"/>
          <w:szCs w:val="28"/>
        </w:rPr>
        <w:t xml:space="preserve">ированного </w:t>
      </w:r>
      <w:r w:rsidR="00AA146B" w:rsidRPr="00366126">
        <w:rPr>
          <w:rFonts w:ascii="Times New Roman" w:hAnsi="Times New Roman"/>
          <w:sz w:val="28"/>
          <w:szCs w:val="28"/>
        </w:rPr>
        <w:t>гемоглобин</w:t>
      </w:r>
      <w:r w:rsidRPr="00366126">
        <w:rPr>
          <w:rFonts w:ascii="Times New Roman" w:hAnsi="Times New Roman"/>
          <w:sz w:val="28"/>
          <w:szCs w:val="28"/>
        </w:rPr>
        <w:t>а;</w:t>
      </w:r>
    </w:p>
    <w:p w:rsidR="00AA146B" w:rsidRPr="00366126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Определение уровня электролитов крови;</w:t>
      </w:r>
    </w:p>
    <w:p w:rsidR="00AA146B" w:rsidRPr="00366126" w:rsidRDefault="00AA146B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Оценка ИМТ, окружности талии, соотношение </w:t>
      </w:r>
      <w:r w:rsidR="002F663C" w:rsidRPr="00366126">
        <w:rPr>
          <w:rFonts w:ascii="Times New Roman" w:hAnsi="Times New Roman"/>
          <w:sz w:val="28"/>
          <w:szCs w:val="28"/>
        </w:rPr>
        <w:t>окружности талии и бедер;</w:t>
      </w:r>
    </w:p>
    <w:p w:rsidR="002F663C" w:rsidRPr="00E32AC5" w:rsidRDefault="002F663C" w:rsidP="00E32AC5">
      <w:pPr>
        <w:pStyle w:val="a5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Гормональное исследование (</w:t>
      </w:r>
      <w:r w:rsidR="00544F0B" w:rsidRPr="00366126">
        <w:rPr>
          <w:rFonts w:ascii="Times New Roman" w:hAnsi="Times New Roman"/>
          <w:sz w:val="28"/>
          <w:szCs w:val="28"/>
        </w:rPr>
        <w:t>тиреотропный гормон (</w:t>
      </w:r>
      <w:r w:rsidRPr="00366126">
        <w:rPr>
          <w:rFonts w:ascii="Times New Roman" w:hAnsi="Times New Roman"/>
          <w:sz w:val="28"/>
          <w:szCs w:val="28"/>
        </w:rPr>
        <w:t>ТТГ</w:t>
      </w:r>
      <w:r w:rsidR="00544F0B" w:rsidRPr="00366126">
        <w:rPr>
          <w:rFonts w:ascii="Times New Roman" w:hAnsi="Times New Roman"/>
          <w:sz w:val="28"/>
          <w:szCs w:val="28"/>
        </w:rPr>
        <w:t>)</w:t>
      </w:r>
      <w:r w:rsidRPr="00366126">
        <w:rPr>
          <w:rFonts w:ascii="Times New Roman" w:hAnsi="Times New Roman"/>
          <w:sz w:val="28"/>
          <w:szCs w:val="28"/>
        </w:rPr>
        <w:t>, паратиреоидный гормон</w:t>
      </w:r>
      <w:r w:rsidR="00544F0B" w:rsidRPr="00366126">
        <w:rPr>
          <w:rFonts w:ascii="Times New Roman" w:hAnsi="Times New Roman"/>
          <w:sz w:val="28"/>
          <w:szCs w:val="28"/>
        </w:rPr>
        <w:t xml:space="preserve"> (ПТГ)</w:t>
      </w:r>
      <w:r w:rsidRPr="00366126">
        <w:rPr>
          <w:rFonts w:ascii="Times New Roman" w:hAnsi="Times New Roman"/>
          <w:sz w:val="28"/>
          <w:szCs w:val="28"/>
        </w:rPr>
        <w:t xml:space="preserve">, </w:t>
      </w:r>
      <w:r w:rsidR="00AA146B" w:rsidRPr="00366126">
        <w:rPr>
          <w:rFonts w:ascii="Times New Roman" w:hAnsi="Times New Roman"/>
          <w:sz w:val="28"/>
          <w:szCs w:val="28"/>
        </w:rPr>
        <w:t xml:space="preserve">гормоны надпочечников, </w:t>
      </w:r>
      <w:r w:rsidRPr="00366126">
        <w:rPr>
          <w:rFonts w:ascii="Times New Roman" w:hAnsi="Times New Roman"/>
          <w:sz w:val="28"/>
          <w:szCs w:val="28"/>
        </w:rPr>
        <w:t xml:space="preserve">общий и </w:t>
      </w:r>
      <w:r w:rsidR="00AA146B" w:rsidRPr="00366126">
        <w:rPr>
          <w:rFonts w:ascii="Times New Roman" w:hAnsi="Times New Roman"/>
          <w:sz w:val="28"/>
          <w:szCs w:val="28"/>
        </w:rPr>
        <w:t xml:space="preserve">свободный тестостерон, </w:t>
      </w:r>
      <w:proofErr w:type="spellStart"/>
      <w:r w:rsidR="00AA146B" w:rsidRPr="00366126">
        <w:rPr>
          <w:rFonts w:ascii="Times New Roman" w:hAnsi="Times New Roman"/>
          <w:sz w:val="28"/>
          <w:szCs w:val="28"/>
        </w:rPr>
        <w:t>эстрадиол</w:t>
      </w:r>
      <w:proofErr w:type="spellEnd"/>
      <w:r w:rsidR="00E32AC5">
        <w:rPr>
          <w:rFonts w:ascii="Times New Roman" w:hAnsi="Times New Roman"/>
          <w:sz w:val="28"/>
          <w:szCs w:val="28"/>
        </w:rPr>
        <w:t xml:space="preserve">, прогестерон, ФСГ, ЛГ и т.д.) </w:t>
      </w:r>
      <w:r w:rsidR="00E32AC5">
        <w:rPr>
          <w:rFonts w:ascii="Times New Roman" w:hAnsi="Times New Roman"/>
          <w:sz w:val="28"/>
          <w:szCs w:val="28"/>
          <w:lang w:val="en-US"/>
        </w:rPr>
        <w:t>[</w:t>
      </w:r>
      <w:r w:rsidR="00122D23" w:rsidRPr="00366126">
        <w:rPr>
          <w:rFonts w:ascii="Times New Roman" w:hAnsi="Times New Roman"/>
          <w:sz w:val="28"/>
          <w:szCs w:val="28"/>
        </w:rPr>
        <w:t>3,</w:t>
      </w:r>
      <w:r w:rsidR="00544F0B" w:rsidRPr="00366126">
        <w:rPr>
          <w:rFonts w:ascii="Times New Roman" w:hAnsi="Times New Roman"/>
          <w:sz w:val="28"/>
          <w:szCs w:val="28"/>
        </w:rPr>
        <w:t xml:space="preserve"> </w:t>
      </w:r>
      <w:r w:rsidR="00122D23" w:rsidRPr="00366126">
        <w:rPr>
          <w:rFonts w:ascii="Times New Roman" w:hAnsi="Times New Roman"/>
          <w:sz w:val="28"/>
          <w:szCs w:val="28"/>
        </w:rPr>
        <w:t>4,</w:t>
      </w:r>
      <w:r w:rsidR="00544F0B" w:rsidRPr="00366126">
        <w:rPr>
          <w:rFonts w:ascii="Times New Roman" w:hAnsi="Times New Roman"/>
          <w:sz w:val="28"/>
          <w:szCs w:val="28"/>
        </w:rPr>
        <w:t xml:space="preserve"> </w:t>
      </w:r>
      <w:r w:rsidR="00E32AC5">
        <w:rPr>
          <w:rFonts w:ascii="Times New Roman" w:hAnsi="Times New Roman"/>
          <w:sz w:val="28"/>
          <w:szCs w:val="28"/>
        </w:rPr>
        <w:t>8</w:t>
      </w:r>
      <w:r w:rsidR="00E32AC5">
        <w:rPr>
          <w:rFonts w:ascii="Times New Roman" w:hAnsi="Times New Roman"/>
          <w:sz w:val="28"/>
          <w:szCs w:val="28"/>
          <w:lang w:val="en-US"/>
        </w:rPr>
        <w:t>]</w:t>
      </w:r>
      <w:r w:rsidR="00122D23"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lastRenderedPageBreak/>
        <w:t>Медикаментозное лечение</w:t>
      </w:r>
      <w:r w:rsidR="002F663C" w:rsidRPr="00366126">
        <w:rPr>
          <w:rFonts w:ascii="Times New Roman" w:hAnsi="Times New Roman"/>
          <w:b/>
          <w:sz w:val="28"/>
          <w:szCs w:val="28"/>
        </w:rPr>
        <w:t xml:space="preserve">: </w:t>
      </w:r>
      <w:r w:rsidR="002F663C"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ССЗ</w:t>
      </w: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 w:rsidR="002F663C"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МГТ (</w:t>
      </w:r>
      <w:r w:rsidR="002F663C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Pr="00366126">
        <w:rPr>
          <w:rFonts w:ascii="Times New Roman" w:hAnsi="Times New Roman"/>
          <w:sz w:val="28"/>
          <w:szCs w:val="28"/>
        </w:rPr>
        <w:t xml:space="preserve"> эстрогены влияют на </w:t>
      </w:r>
      <w:proofErr w:type="gramStart"/>
      <w:r w:rsidRPr="00366126">
        <w:rPr>
          <w:rFonts w:ascii="Times New Roman" w:hAnsi="Times New Roman"/>
          <w:sz w:val="28"/>
          <w:szCs w:val="28"/>
        </w:rPr>
        <w:t>сердечно-сосудистую</w:t>
      </w:r>
      <w:proofErr w:type="gramEnd"/>
      <w:r w:rsidRPr="00366126">
        <w:rPr>
          <w:rFonts w:ascii="Times New Roman" w:hAnsi="Times New Roman"/>
          <w:sz w:val="28"/>
          <w:szCs w:val="28"/>
        </w:rPr>
        <w:t xml:space="preserve"> систему</w:t>
      </w:r>
      <w:r w:rsidR="002F663C" w:rsidRPr="00366126">
        <w:rPr>
          <w:rFonts w:ascii="Times New Roman" w:hAnsi="Times New Roman"/>
          <w:sz w:val="28"/>
          <w:szCs w:val="28"/>
        </w:rPr>
        <w:t>)</w:t>
      </w:r>
      <w:r w:rsidR="00E32AC5">
        <w:rPr>
          <w:rFonts w:ascii="Times New Roman" w:hAnsi="Times New Roman"/>
          <w:sz w:val="28"/>
          <w:szCs w:val="28"/>
        </w:rPr>
        <w:t xml:space="preserve"> </w:t>
      </w:r>
      <w:r w:rsidR="00E32AC5" w:rsidRPr="00E32AC5">
        <w:rPr>
          <w:rFonts w:ascii="Times New Roman" w:hAnsi="Times New Roman"/>
          <w:sz w:val="28"/>
          <w:szCs w:val="28"/>
        </w:rPr>
        <w:t>[</w:t>
      </w:r>
      <w:r w:rsidR="002F663C" w:rsidRPr="00366126">
        <w:rPr>
          <w:rFonts w:ascii="Times New Roman" w:hAnsi="Times New Roman"/>
          <w:sz w:val="28"/>
          <w:szCs w:val="28"/>
        </w:rPr>
        <w:t>3, 4, 8, 10,</w:t>
      </w:r>
      <w:r w:rsidR="00544F0B" w:rsidRPr="00366126">
        <w:rPr>
          <w:rFonts w:ascii="Times New Roman" w:hAnsi="Times New Roman"/>
          <w:sz w:val="28"/>
          <w:szCs w:val="28"/>
        </w:rPr>
        <w:t xml:space="preserve"> </w:t>
      </w:r>
      <w:r w:rsidR="00E32AC5">
        <w:rPr>
          <w:rFonts w:ascii="Times New Roman" w:hAnsi="Times New Roman"/>
          <w:sz w:val="28"/>
          <w:szCs w:val="28"/>
        </w:rPr>
        <w:t>11</w:t>
      </w:r>
      <w:r w:rsidR="00E32AC5" w:rsidRPr="00E32AC5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 xml:space="preserve">: </w:t>
      </w:r>
    </w:p>
    <w:p w:rsidR="00AA146B" w:rsidRPr="00366126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МГТ, начатая в возрасте до 60 </w:t>
      </w:r>
      <w:r w:rsidR="002F663C" w:rsidRPr="00366126">
        <w:rPr>
          <w:rFonts w:ascii="Times New Roman" w:hAnsi="Times New Roman"/>
          <w:sz w:val="28"/>
          <w:szCs w:val="28"/>
        </w:rPr>
        <w:t>лет, достоверно снижает</w:t>
      </w:r>
      <w:r w:rsidRPr="00366126">
        <w:rPr>
          <w:rFonts w:ascii="Times New Roman" w:hAnsi="Times New Roman"/>
          <w:sz w:val="28"/>
          <w:szCs w:val="28"/>
        </w:rPr>
        <w:t xml:space="preserve"> риск общей смертности, в отличие от </w:t>
      </w:r>
      <w:r w:rsidR="002F663C" w:rsidRPr="00366126">
        <w:rPr>
          <w:rFonts w:ascii="Times New Roman" w:hAnsi="Times New Roman"/>
          <w:sz w:val="28"/>
          <w:szCs w:val="28"/>
        </w:rPr>
        <w:t>специфической терапии</w:t>
      </w:r>
      <w:r w:rsidRPr="00366126">
        <w:rPr>
          <w:rFonts w:ascii="Times New Roman" w:hAnsi="Times New Roman"/>
          <w:sz w:val="28"/>
          <w:szCs w:val="28"/>
        </w:rPr>
        <w:t xml:space="preserve"> сердечно-</w:t>
      </w:r>
      <w:r w:rsidR="002F663C" w:rsidRPr="00366126">
        <w:rPr>
          <w:rFonts w:ascii="Times New Roman" w:hAnsi="Times New Roman"/>
          <w:sz w:val="28"/>
          <w:szCs w:val="28"/>
        </w:rPr>
        <w:t>сосудистых заболеваний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  <w:r w:rsidR="002F663C" w:rsidRPr="00366126">
        <w:rPr>
          <w:rFonts w:ascii="Times New Roman" w:hAnsi="Times New Roman"/>
          <w:sz w:val="28"/>
          <w:szCs w:val="28"/>
        </w:rPr>
        <w:t>Эстрогены замедляют</w:t>
      </w:r>
      <w:r w:rsidRPr="00366126">
        <w:rPr>
          <w:rFonts w:ascii="Times New Roman" w:hAnsi="Times New Roman"/>
          <w:sz w:val="28"/>
          <w:szCs w:val="28"/>
        </w:rPr>
        <w:t xml:space="preserve"> развитие гипертрофии мышечного слоя коронарных артерий, способствуют биосинтезу и активности оксида азота, ограничивают влияние на эндотелий </w:t>
      </w:r>
      <w:proofErr w:type="spellStart"/>
      <w:r w:rsidRPr="00366126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белков и цитокинов, участвуют в контроле сосудистого тонуса, благоприятно влияют на липидный спектр, замедляют процессы атеросклероза, способствуют сосудистому </w:t>
      </w:r>
      <w:proofErr w:type="spellStart"/>
      <w:r w:rsidRPr="00366126">
        <w:rPr>
          <w:rFonts w:ascii="Times New Roman" w:hAnsi="Times New Roman"/>
          <w:sz w:val="28"/>
          <w:szCs w:val="28"/>
        </w:rPr>
        <w:t>ремоделированию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и эластичности (авторов посмотреть), снижают уровень </w:t>
      </w:r>
      <w:proofErr w:type="spellStart"/>
      <w:r w:rsidRPr="00366126">
        <w:rPr>
          <w:rFonts w:ascii="Times New Roman" w:hAnsi="Times New Roman"/>
          <w:sz w:val="28"/>
          <w:szCs w:val="28"/>
        </w:rPr>
        <w:t>оксидативного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стресса, нормализуя состояние митохондрий клеток. </w:t>
      </w:r>
      <w:proofErr w:type="spellStart"/>
      <w:r w:rsidRPr="00366126">
        <w:rPr>
          <w:rFonts w:ascii="Times New Roman" w:hAnsi="Times New Roman"/>
          <w:sz w:val="28"/>
          <w:szCs w:val="28"/>
        </w:rPr>
        <w:t>Низкодозированная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МГТ оказывает такой же эффект на </w:t>
      </w:r>
      <w:r w:rsidR="00E32AC5">
        <w:rPr>
          <w:rFonts w:ascii="Times New Roman" w:hAnsi="Times New Roman"/>
          <w:sz w:val="28"/>
          <w:szCs w:val="28"/>
        </w:rPr>
        <w:t xml:space="preserve">липидный спектр, как и </w:t>
      </w:r>
      <w:proofErr w:type="spellStart"/>
      <w:r w:rsidR="00E32AC5">
        <w:rPr>
          <w:rFonts w:ascii="Times New Roman" w:hAnsi="Times New Roman"/>
          <w:sz w:val="28"/>
          <w:szCs w:val="28"/>
        </w:rPr>
        <w:t>статины</w:t>
      </w:r>
      <w:proofErr w:type="spellEnd"/>
      <w:r w:rsidR="00E32AC5">
        <w:rPr>
          <w:rFonts w:ascii="Times New Roman" w:hAnsi="Times New Roman"/>
          <w:sz w:val="28"/>
          <w:szCs w:val="28"/>
        </w:rPr>
        <w:t xml:space="preserve"> </w:t>
      </w:r>
      <w:r w:rsidR="00E32AC5" w:rsidRPr="00E32AC5">
        <w:rPr>
          <w:rFonts w:ascii="Times New Roman" w:hAnsi="Times New Roman"/>
          <w:sz w:val="28"/>
          <w:szCs w:val="28"/>
        </w:rPr>
        <w:t>[</w:t>
      </w:r>
      <w:r w:rsidR="00E32AC5">
        <w:rPr>
          <w:rFonts w:ascii="Times New Roman" w:hAnsi="Times New Roman"/>
          <w:sz w:val="28"/>
          <w:szCs w:val="28"/>
        </w:rPr>
        <w:t>4, 11</w:t>
      </w:r>
      <w:r w:rsidR="00E32AC5" w:rsidRPr="00E32AC5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МГТ способствует улучшению профиля сердечно-сосудистого риска, благодаря своему положительному влиянию на сосудистую функцию, уровни липидов и метаболизм глюкозы; снижает частоту вновь диагностированного сахарного диабета.</w:t>
      </w:r>
    </w:p>
    <w:p w:rsidR="00AA146B" w:rsidRPr="00366126" w:rsidRDefault="00AA146B" w:rsidP="00E32AC5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Терапия эстрогенами оказывает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кардиопротективное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действие (значимое уменьшение ИБС и смертности на 12-54%), если она начата в период, близкий ко времени наступления менопаузы (часто называемый «окном возможностей» или гипотезой «выбора времени»)</w:t>
      </w:r>
      <w:r w:rsidR="002F663C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146B" w:rsidRPr="00366126" w:rsidRDefault="00AA146B" w:rsidP="00E32AC5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МГТ у женщин старше 60 лет или у тех, кто более 10 лет находится в постменопаузе, может быть связано с повышен</w:t>
      </w:r>
      <w:r w:rsidR="002F663C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риском коронарных событий.</w:t>
      </w:r>
    </w:p>
    <w:p w:rsidR="00AA146B" w:rsidRPr="00366126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У пациенток, не получавших МГТ, чаще регистрировались артериальная гипертензия (64% </w:t>
      </w:r>
      <w:r w:rsidRPr="00366126">
        <w:rPr>
          <w:rFonts w:ascii="Times New Roman" w:hAnsi="Times New Roman"/>
          <w:sz w:val="28"/>
          <w:szCs w:val="28"/>
          <w:lang w:val="en-US"/>
        </w:rPr>
        <w:t>vs</w:t>
      </w:r>
      <w:r w:rsidRPr="00366126">
        <w:rPr>
          <w:rFonts w:ascii="Times New Roman" w:hAnsi="Times New Roman"/>
          <w:sz w:val="28"/>
          <w:szCs w:val="28"/>
        </w:rPr>
        <w:t xml:space="preserve"> 47%), ИБС (20% </w:t>
      </w:r>
      <w:r w:rsidRPr="00366126">
        <w:rPr>
          <w:rFonts w:ascii="Times New Roman" w:hAnsi="Times New Roman"/>
          <w:sz w:val="28"/>
          <w:szCs w:val="28"/>
          <w:lang w:val="en-US"/>
        </w:rPr>
        <w:t>vs</w:t>
      </w:r>
      <w:r w:rsidRPr="00366126">
        <w:rPr>
          <w:rFonts w:ascii="Times New Roman" w:hAnsi="Times New Roman"/>
          <w:sz w:val="28"/>
          <w:szCs w:val="28"/>
        </w:rPr>
        <w:t xml:space="preserve"> 12%), СД (11% </w:t>
      </w:r>
      <w:r w:rsidRPr="00366126">
        <w:rPr>
          <w:rFonts w:ascii="Times New Roman" w:hAnsi="Times New Roman"/>
          <w:sz w:val="28"/>
          <w:szCs w:val="28"/>
          <w:lang w:val="en-US"/>
        </w:rPr>
        <w:t>vs</w:t>
      </w:r>
      <w:r w:rsidRPr="00366126">
        <w:rPr>
          <w:rFonts w:ascii="Times New Roman" w:hAnsi="Times New Roman"/>
          <w:sz w:val="28"/>
          <w:szCs w:val="28"/>
        </w:rPr>
        <w:t xml:space="preserve"> 8%), сердечно-сосудистые события (89% </w:t>
      </w:r>
      <w:r w:rsidRPr="00366126">
        <w:rPr>
          <w:rFonts w:ascii="Times New Roman" w:hAnsi="Times New Roman"/>
          <w:i/>
          <w:sz w:val="28"/>
          <w:szCs w:val="28"/>
          <w:lang w:val="en-US"/>
        </w:rPr>
        <w:t>vs</w:t>
      </w:r>
      <w:r w:rsidR="002F663C" w:rsidRPr="00366126">
        <w:rPr>
          <w:rFonts w:ascii="Times New Roman" w:hAnsi="Times New Roman"/>
          <w:sz w:val="28"/>
          <w:szCs w:val="28"/>
        </w:rPr>
        <w:t xml:space="preserve"> </w:t>
      </w:r>
      <w:r w:rsidRPr="00366126">
        <w:rPr>
          <w:rFonts w:ascii="Times New Roman" w:hAnsi="Times New Roman"/>
          <w:sz w:val="28"/>
          <w:szCs w:val="28"/>
        </w:rPr>
        <w:t>121%)</w:t>
      </w:r>
      <w:r w:rsidR="002F663C" w:rsidRPr="00366126">
        <w:rPr>
          <w:rFonts w:ascii="Times New Roman" w:hAnsi="Times New Roman"/>
          <w:sz w:val="28"/>
          <w:szCs w:val="28"/>
        </w:rPr>
        <w:t>.</w:t>
      </w:r>
    </w:p>
    <w:p w:rsidR="00AA146B" w:rsidRPr="00366126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Восстановление баланса электролитов</w:t>
      </w:r>
      <w:r w:rsidR="002F663C" w:rsidRPr="00366126">
        <w:rPr>
          <w:rFonts w:ascii="Times New Roman" w:hAnsi="Times New Roman"/>
          <w:sz w:val="28"/>
          <w:szCs w:val="28"/>
        </w:rPr>
        <w:t>.</w:t>
      </w:r>
    </w:p>
    <w:p w:rsidR="002F663C" w:rsidRPr="00E32AC5" w:rsidRDefault="00AA146B" w:rsidP="00E32AC5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Лечение/коррекция нейровегетативных </w:t>
      </w:r>
      <w:r w:rsidR="002F663C" w:rsidRPr="00366126">
        <w:rPr>
          <w:rFonts w:ascii="Times New Roman" w:hAnsi="Times New Roman"/>
          <w:sz w:val="28"/>
          <w:szCs w:val="28"/>
        </w:rPr>
        <w:t>и психо-эмоциональных нарушений.</w:t>
      </w:r>
    </w:p>
    <w:p w:rsidR="002F663C" w:rsidRPr="00E32AC5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lastRenderedPageBreak/>
        <w:t>Необходимо отметить, что ме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 первичной профилактики, эффективные у мужчин, а именно, применение аспирина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статинов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оказывают защитного влияния в отношении коронарного заболевания,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смертности и общей смертности у женщин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E32AC5" w:rsidRP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1, 2, 8, 11</w:t>
      </w:r>
      <w:r w:rsidR="00E32AC5" w:rsidRPr="00E32A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 xml:space="preserve">Выделяют </w:t>
      </w:r>
      <w:proofErr w:type="spellStart"/>
      <w:r w:rsidRPr="00366126">
        <w:rPr>
          <w:rFonts w:ascii="Times New Roman" w:hAnsi="Times New Roman"/>
          <w:b/>
          <w:sz w:val="28"/>
          <w:szCs w:val="28"/>
        </w:rPr>
        <w:t>немодифицируемые</w:t>
      </w:r>
      <w:proofErr w:type="spellEnd"/>
      <w:r w:rsidRPr="00366126">
        <w:rPr>
          <w:rFonts w:ascii="Times New Roman" w:hAnsi="Times New Roman"/>
          <w:b/>
          <w:sz w:val="28"/>
          <w:szCs w:val="28"/>
        </w:rPr>
        <w:t xml:space="preserve"> и модифицируемые факторы риска возникновения </w:t>
      </w:r>
      <w:proofErr w:type="gramStart"/>
      <w:r w:rsidRPr="00366126">
        <w:rPr>
          <w:rFonts w:ascii="Times New Roman" w:hAnsi="Times New Roman"/>
          <w:b/>
          <w:sz w:val="28"/>
          <w:szCs w:val="28"/>
        </w:rPr>
        <w:t>сердечно-сосудистых</w:t>
      </w:r>
      <w:proofErr w:type="gramEnd"/>
      <w:r w:rsidRPr="00366126">
        <w:rPr>
          <w:rFonts w:ascii="Times New Roman" w:hAnsi="Times New Roman"/>
          <w:b/>
          <w:sz w:val="28"/>
          <w:szCs w:val="28"/>
        </w:rPr>
        <w:t xml:space="preserve"> заболеваний:</w:t>
      </w:r>
    </w:p>
    <w:p w:rsidR="00AA146B" w:rsidRPr="00366126" w:rsidRDefault="00AA146B" w:rsidP="00E32AC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66126">
        <w:rPr>
          <w:rFonts w:ascii="Times New Roman" w:hAnsi="Times New Roman"/>
          <w:b/>
          <w:sz w:val="28"/>
          <w:szCs w:val="28"/>
        </w:rPr>
        <w:t>Немодифицируемые</w:t>
      </w:r>
      <w:proofErr w:type="spellEnd"/>
      <w:r w:rsidRPr="00366126">
        <w:rPr>
          <w:rFonts w:ascii="Times New Roman" w:hAnsi="Times New Roman"/>
          <w:b/>
          <w:sz w:val="28"/>
          <w:szCs w:val="28"/>
        </w:rPr>
        <w:t xml:space="preserve"> факторы риска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Возраст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Время менопаузы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Наследственный фактор</w:t>
      </w:r>
    </w:p>
    <w:p w:rsidR="002F663C" w:rsidRPr="00E32AC5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Артериальная г</w:t>
      </w:r>
      <w:r w:rsidR="002F663C" w:rsidRPr="00366126">
        <w:rPr>
          <w:rFonts w:ascii="Times New Roman" w:hAnsi="Times New Roman"/>
          <w:sz w:val="28"/>
          <w:szCs w:val="28"/>
        </w:rPr>
        <w:t>ипертония</w:t>
      </w:r>
      <w:r w:rsidRPr="00366126">
        <w:rPr>
          <w:rFonts w:ascii="Times New Roman" w:hAnsi="Times New Roman"/>
          <w:sz w:val="28"/>
          <w:szCs w:val="28"/>
        </w:rPr>
        <w:t xml:space="preserve"> и задержка жидкости во время беременности</w:t>
      </w:r>
    </w:p>
    <w:p w:rsidR="00AA146B" w:rsidRPr="00366126" w:rsidRDefault="00AA146B" w:rsidP="00E32AC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126">
        <w:rPr>
          <w:rFonts w:ascii="Times New Roman" w:hAnsi="Times New Roman"/>
          <w:b/>
          <w:sz w:val="28"/>
          <w:szCs w:val="28"/>
        </w:rPr>
        <w:t>Модифицируемые факторы риска: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Курение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Лишний вес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Сидячий образ жизни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Неправильное питание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Контроль показателей артериального давления, глюкозы крови, веса </w:t>
      </w:r>
    </w:p>
    <w:p w:rsidR="00AA146B" w:rsidRPr="00366126" w:rsidRDefault="00AA146B" w:rsidP="00E32AC5">
      <w:pPr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>Отказ от МГТ</w:t>
      </w:r>
    </w:p>
    <w:p w:rsidR="00AA146B" w:rsidRPr="009724D7" w:rsidRDefault="00AA146B" w:rsidP="00E32AC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792F6B" w:rsidRPr="009724D7" w:rsidRDefault="002F663C" w:rsidP="00CE46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6126">
        <w:rPr>
          <w:rFonts w:ascii="Times New Roman" w:hAnsi="Times New Roman"/>
          <w:b/>
          <w:sz w:val="28"/>
          <w:szCs w:val="28"/>
        </w:rPr>
        <w:t>ОСТЕОПОРОЗ У ЖЕНЩИН СТАРШЕ 40 ЛЕТ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Остеопороз - системное заболевание скелета, характеризующееся снижением прочности костей с риском возникновения перелома при падении с высоты собственного роста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остеопоротического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перелома). </w:t>
      </w:r>
    </w:p>
    <w:p w:rsidR="00792F6B" w:rsidRPr="00366126" w:rsidRDefault="00792F6B" w:rsidP="00E32AC5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66126">
        <w:rPr>
          <w:sz w:val="28"/>
          <w:szCs w:val="28"/>
        </w:rPr>
        <w:t>Перелом бедра у людей старше 65 лет является высоким фактором риска смерти (20% в год после перелома), более половины больных никогда не возвращается к их первоначальному функциональному состоянию. Финансовые затраты, связанные с остеопорозом, превышают 10 млрд</w:t>
      </w:r>
      <w:r w:rsidR="00A610D4">
        <w:rPr>
          <w:sz w:val="28"/>
          <w:szCs w:val="28"/>
        </w:rPr>
        <w:t>.</w:t>
      </w:r>
      <w:r w:rsidRPr="00366126">
        <w:rPr>
          <w:sz w:val="28"/>
          <w:szCs w:val="28"/>
        </w:rPr>
        <w:t xml:space="preserve"> долл. ежегодно. Медицинские и социально-экономические потери настолько </w:t>
      </w:r>
      <w:r w:rsidRPr="00366126">
        <w:rPr>
          <w:sz w:val="28"/>
          <w:szCs w:val="28"/>
        </w:rPr>
        <w:lastRenderedPageBreak/>
        <w:t xml:space="preserve">велики, что ВОЗ ставит проблему остеопороза на четвертое место после </w:t>
      </w:r>
      <w:proofErr w:type="gramStart"/>
      <w:r w:rsidRPr="00366126">
        <w:rPr>
          <w:sz w:val="28"/>
          <w:szCs w:val="28"/>
        </w:rPr>
        <w:t>сердечно-сосудистых</w:t>
      </w:r>
      <w:proofErr w:type="gramEnd"/>
      <w:r w:rsidRPr="00366126">
        <w:rPr>
          <w:sz w:val="28"/>
          <w:szCs w:val="28"/>
        </w:rPr>
        <w:t>, онкологических з</w:t>
      </w:r>
      <w:r w:rsidR="009724D7">
        <w:rPr>
          <w:sz w:val="28"/>
          <w:szCs w:val="28"/>
        </w:rPr>
        <w:t xml:space="preserve">аболеваний и сахарного диабета </w:t>
      </w:r>
      <w:r w:rsidR="009724D7" w:rsidRPr="009724D7">
        <w:rPr>
          <w:sz w:val="28"/>
          <w:szCs w:val="28"/>
        </w:rPr>
        <w:t>[</w:t>
      </w:r>
      <w:r w:rsidR="009724D7">
        <w:rPr>
          <w:sz w:val="28"/>
          <w:szCs w:val="28"/>
        </w:rPr>
        <w:t>3, 4, 29, 30</w:t>
      </w:r>
      <w:r w:rsidR="009724D7" w:rsidRPr="009724D7">
        <w:rPr>
          <w:sz w:val="28"/>
          <w:szCs w:val="28"/>
        </w:rPr>
        <w:t>]</w:t>
      </w:r>
      <w:r w:rsidRPr="00366126">
        <w:rPr>
          <w:sz w:val="28"/>
          <w:szCs w:val="28"/>
        </w:rPr>
        <w:t>.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Прочность костей определяется сочетанием плотности костной ткани и микроархитектурной целостности. Возникновение постменопаузального остеопороза связано с отсутствием достижения пиковой плотности костной ткани, ускоренной потерей костной массы после наступления менопаузы, возрастной потерей костной массы или комбинацией факторов. Ускоренное снижение костной массы в постменопаузе связано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недостаточностью эстрогенов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3, 4, 31, 32, 33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Хотя здоровье скелета зависит от генетической предрасположенности, оно может меняться под влиянием таких факторов образа жизни, как диета, физические упражнения с нагрузкой, а также предотвращение воздействи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я токсичных для костей веществ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1, 3, 4, 34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24D7">
        <w:rPr>
          <w:rFonts w:ascii="Times New Roman" w:hAnsi="Times New Roman"/>
          <w:sz w:val="28"/>
          <w:szCs w:val="28"/>
        </w:rPr>
        <w:t>200 млн</w:t>
      </w:r>
      <w:r w:rsidR="00A610D4">
        <w:rPr>
          <w:rFonts w:ascii="Times New Roman" w:hAnsi="Times New Roman"/>
          <w:sz w:val="28"/>
          <w:szCs w:val="28"/>
        </w:rPr>
        <w:t>.</w:t>
      </w:r>
      <w:r w:rsidR="009724D7">
        <w:rPr>
          <w:rFonts w:ascii="Times New Roman" w:hAnsi="Times New Roman"/>
          <w:sz w:val="28"/>
          <w:szCs w:val="28"/>
        </w:rPr>
        <w:t xml:space="preserve"> человек в мире </w:t>
      </w:r>
      <w:r w:rsidRPr="00366126">
        <w:rPr>
          <w:rFonts w:ascii="Times New Roman" w:hAnsi="Times New Roman"/>
          <w:sz w:val="28"/>
          <w:szCs w:val="28"/>
        </w:rPr>
        <w:t>и 14 млн</w:t>
      </w:r>
      <w:r w:rsidR="00A610D4">
        <w:rPr>
          <w:rFonts w:ascii="Times New Roman" w:hAnsi="Times New Roman"/>
          <w:sz w:val="28"/>
          <w:szCs w:val="28"/>
        </w:rPr>
        <w:t>.</w:t>
      </w:r>
      <w:r w:rsidRPr="00366126">
        <w:rPr>
          <w:rFonts w:ascii="Times New Roman" w:hAnsi="Times New Roman"/>
          <w:sz w:val="28"/>
          <w:szCs w:val="28"/>
        </w:rPr>
        <w:t xml:space="preserve"> человек в России болеют остеопорозом, остеопороз поражает каждую третью женщину и каждого четвертого мужчину в </w:t>
      </w:r>
      <w:r w:rsidR="002F663C" w:rsidRPr="00366126">
        <w:rPr>
          <w:rFonts w:ascii="Times New Roman" w:hAnsi="Times New Roman"/>
          <w:sz w:val="28"/>
          <w:szCs w:val="28"/>
        </w:rPr>
        <w:t>возрасте 40</w:t>
      </w:r>
      <w:r w:rsidR="009724D7">
        <w:rPr>
          <w:rFonts w:ascii="Times New Roman" w:hAnsi="Times New Roman"/>
          <w:sz w:val="28"/>
          <w:szCs w:val="28"/>
        </w:rPr>
        <w:t xml:space="preserve"> лет</w:t>
      </w:r>
      <w:proofErr w:type="gramEnd"/>
      <w:r w:rsidR="009724D7">
        <w:rPr>
          <w:rFonts w:ascii="Times New Roman" w:hAnsi="Times New Roman"/>
          <w:sz w:val="28"/>
          <w:szCs w:val="28"/>
        </w:rPr>
        <w:t xml:space="preserve"> </w:t>
      </w:r>
      <w:r w:rsidR="009724D7" w:rsidRPr="009724D7">
        <w:rPr>
          <w:rFonts w:ascii="Times New Roman" w:hAnsi="Times New Roman"/>
          <w:sz w:val="28"/>
          <w:szCs w:val="28"/>
        </w:rPr>
        <w:t>[</w:t>
      </w:r>
      <w:proofErr w:type="gramStart"/>
      <w:r w:rsidR="009724D7">
        <w:rPr>
          <w:rFonts w:ascii="Times New Roman" w:hAnsi="Times New Roman"/>
          <w:sz w:val="28"/>
          <w:szCs w:val="28"/>
        </w:rPr>
        <w:t>35, 36</w:t>
      </w:r>
      <w:r w:rsidR="009724D7" w:rsidRPr="009724D7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  <w:proofErr w:type="gramEnd"/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Остеопороз – серьезное </w:t>
      </w:r>
      <w:proofErr w:type="spellStart"/>
      <w:r w:rsidRPr="00366126">
        <w:rPr>
          <w:rFonts w:ascii="Times New Roman" w:hAnsi="Times New Roman"/>
          <w:sz w:val="28"/>
          <w:szCs w:val="28"/>
        </w:rPr>
        <w:t>инвалидизирующее</w:t>
      </w:r>
      <w:proofErr w:type="spellEnd"/>
      <w:r w:rsidRPr="00366126">
        <w:rPr>
          <w:rFonts w:ascii="Times New Roman" w:hAnsi="Times New Roman"/>
          <w:sz w:val="28"/>
          <w:szCs w:val="28"/>
        </w:rPr>
        <w:t xml:space="preserve"> заболевание, представляющее собой значительную проблему для работников здравоохранения во всем мире (Международная организация по борьбе с остеопорозом) </w:t>
      </w:r>
    </w:p>
    <w:p w:rsidR="00792F6B" w:rsidRPr="00366126" w:rsidRDefault="00792F6B" w:rsidP="00E32AC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Причины остеопороза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Кальций и фосфор в совокупности образуют минеральную основу скелета. В большинстве случаев причина остеопороза — нарушение к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альциевого и фосфорного обмена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3, 4, 7, 34, 35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важным звеном в обеспечении организма кальцием является достаточная абсорбция его в кишечнике, которая возможна при наличии как минимум трех обязательных условий: достаточного содержания кальция в пищевом рационе; обеспеченности организма витамином D, в т. ч. его активными метаболитами; отсутствия заболеваний желудочно-кишечного тракта с нарушением всасывания. При недостатке кальция в организме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последний извлекается из собственной костной ткани. В результате костная масса уменьшается, и кости становятся хрупкими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>
        <w:rPr>
          <w:rFonts w:ascii="Times New Roman" w:eastAsia="Times New Roman" w:hAnsi="Times New Roman"/>
          <w:sz w:val="28"/>
          <w:szCs w:val="28"/>
          <w:lang w:val="en-US"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9724D7">
        <w:rPr>
          <w:rFonts w:ascii="Times New Roman" w:eastAsia="Times New Roman" w:hAnsi="Times New Roman"/>
          <w:sz w:val="28"/>
          <w:szCs w:val="28"/>
          <w:lang w:val="en-US"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E32AC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Факторов развития остеопороза достаточно много. Деление на первичный и вторичный остеопороз относительно. К первичному относят постменопаузальный, сенильный (старческий), а также идиопатический остеопороз.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 вторичному остеопорозу относят снижение массы костной ткани в результате генетических нарушений, некоторых заболеваний эндокринной системы, ревматических, органов кровообращения, почек, чрезмерного приема алкоголя, длительной иммобилизации, приема лекарственных препаратов, прежде всего кортикостероидов, иммунодепрессантов, в результате психических расстройств (нервной анорексии), а также недостаточного поступления с пищей или нарушения всасывания в кишечнике определенных нутриентов, прежде всего кальция и витамина D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3, 4, 5</w:t>
      </w:r>
      <w:proofErr w:type="gramEnd"/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724D7" w:rsidRPr="00A610D4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белковой недостаточности как самостоятельного фактора дискутируется. Наиболее частыми причинами развития остеопороза являются нарушения потребления определенных нутриентов с продуктами, постменопаузальный период, сенильный синдром, патологические расстройства обменных процессов в результате приема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глюкокортикостероидов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а также чрезмерного количества алкоголя.</w:t>
      </w:r>
    </w:p>
    <w:p w:rsidR="009724D7" w:rsidRPr="009724D7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Постменопаузальный остеопороз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патогенезе постменопаузального ОП ведущим фактором является дефицит половых гормонов, что приводит к ускорению процессов костного метаболизма с нарушением равновесия в сторону костной резорбции </w:t>
      </w:r>
      <w:r w:rsidR="009724D7" w:rsidRPr="00972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972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29, 38</w:t>
      </w:r>
      <w:r w:rsidR="009724D7" w:rsidRPr="00972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92202C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Половые гормоны влияют на костную ткань посредством связывания со специфическими рецепторами на остеобластах, и губчатое вещество костной ткани является своеобразным органом-мишенью для половых гормонов. </w:t>
      </w:r>
      <w:r w:rsidRPr="00366126">
        <w:rPr>
          <w:rFonts w:ascii="Times New Roman" w:hAnsi="Times New Roman"/>
          <w:color w:val="000000"/>
          <w:sz w:val="28"/>
          <w:szCs w:val="28"/>
        </w:rPr>
        <w:br/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Переломы бедра обуславливают наибольшую долю связанной с остеопорозом финансовой нагрузки на систему здравоохранения, но другие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переломы, связанные с остеопорозом, особенно переломы позвонков, являются значимой причиной заболеваемости</w:t>
      </w:r>
      <w:r w:rsidR="0092202C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1, 4, 35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keepNext/>
        <w:keepLines/>
        <w:tabs>
          <w:tab w:val="left" w:pos="851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Диагностика и оценка </w:t>
      </w:r>
    </w:p>
    <w:p w:rsidR="00792F6B" w:rsidRPr="00366126" w:rsidRDefault="00792F6B" w:rsidP="009724D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основывается на оценке минеральной плотности костной ткани (МПК) с помощью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двухэнергетической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рентгеновской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абсорбциометрии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(ДЭРА). Полученный показатель сравнивается с пиковой плотностью костной ткани и выражается в виде Т-критерия. Под остеопорозом понимают значение Т-критерия </w:t>
      </w:r>
      <w:r w:rsidRPr="00366126">
        <w:rPr>
          <w:rFonts w:ascii="Times New Roman" w:eastAsia="Times New Roman" w:hAnsi="Times New Roman"/>
          <w:sz w:val="28"/>
          <w:szCs w:val="28"/>
          <w:u w:val="single" w:color="000000"/>
          <w:lang w:eastAsia="ru-RU"/>
        </w:rPr>
        <w:t>&lt;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-2,5, или наличие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низкотравматичных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переломов. Оценка МПК - наилучший метод для селективного применения, основанного на возрасте и других факторах: личный или семейный анамнез переломов, наличие в анамнезе аменореи, первичная недостаточность яичников, низкая масса, нарушение диеты, курение, злоупотребление алкоголем, применение токсичных препаратов и ревматоидный артрит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1, 3, 29, 39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pStyle w:val="a5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10-летняя вероятность переломов оценивается с помощью модели FRAX</w:t>
      </w:r>
      <w:r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®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(ВОЗ), которая интегрирует различные факторы риска возникновения переломов, согласно которой </w:t>
      </w:r>
      <w:r w:rsidR="002F663C" w:rsidRPr="00366126">
        <w:rPr>
          <w:rFonts w:ascii="Times New Roman" w:eastAsia="Times New Roman" w:hAnsi="Times New Roman"/>
          <w:sz w:val="28"/>
          <w:szCs w:val="28"/>
          <w:lang w:eastAsia="ru-RU"/>
        </w:rPr>
        <w:t>высокая чувствительность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у более пожилых женщин, чем у женщин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постменомаузе</w:t>
      </w:r>
      <w:proofErr w:type="spellEnd"/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3, 4, 39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9724D7" w:rsidRDefault="00792F6B" w:rsidP="009724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" w:name="_Hlk520051564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 терапии </w:t>
      </w:r>
      <w:r w:rsidR="002F663C" w:rsidRPr="00366126">
        <w:rPr>
          <w:rFonts w:ascii="Times New Roman" w:eastAsia="Times New Roman" w:hAnsi="Times New Roman"/>
          <w:sz w:val="28"/>
          <w:szCs w:val="28"/>
          <w:lang w:eastAsia="ru-RU"/>
        </w:rPr>
        <w:t>проводится только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</w:t>
      </w:r>
      <w:bookmarkEnd w:id="1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адекватной оценки перенесенных переломов и вторичных причин остеопороза.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Лечение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лечения остеопороза - профилактика переломов. </w:t>
      </w:r>
    </w:p>
    <w:p w:rsidR="00792F6B" w:rsidRPr="00366126" w:rsidRDefault="00792F6B" w:rsidP="009724D7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терапии основывается на балансе эффективности, риска и затрат. </w:t>
      </w:r>
    </w:p>
    <w:p w:rsidR="00792F6B" w:rsidRPr="00366126" w:rsidRDefault="00792F6B" w:rsidP="009724D7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проводится у всех пациентов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остеопоротическими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переломами, или значением T-критерия ≤ -2,5 (остеопороз), либо если T-критерий &lt; -1,0 &gt; -2,5 (остеопения) и имеются дополнительные факторы риска. </w:t>
      </w:r>
    </w:p>
    <w:p w:rsidR="00792F6B" w:rsidRPr="009724D7" w:rsidRDefault="00792F6B" w:rsidP="009724D7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лечения путем проведения серии ДЭРА необходимо интерпретировать с осторожностью и принимать во внимание область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обследования, временной интервал, специфические для данного препарата ожидания и значение наименьшего значимого изменения, рассчитанного для конкретного устройства и оператора</w:t>
      </w:r>
      <w:r w:rsidR="00A61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0D4" w:rsidRPr="00A610D4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2202C" w:rsidRPr="00366126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544F0B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0D4">
        <w:rPr>
          <w:rFonts w:ascii="Times New Roman" w:eastAsia="Times New Roman" w:hAnsi="Times New Roman"/>
          <w:sz w:val="28"/>
          <w:szCs w:val="28"/>
          <w:lang w:eastAsia="ru-RU"/>
        </w:rPr>
        <w:t>4, 40</w:t>
      </w:r>
      <w:r w:rsidR="00A610D4" w:rsidRPr="00A610D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</w:t>
      </w:r>
      <w:r w:rsidR="007B7C11" w:rsidRPr="00366126">
        <w:rPr>
          <w:rFonts w:ascii="Times New Roman" w:eastAsia="Times New Roman" w:hAnsi="Times New Roman"/>
          <w:b/>
          <w:sz w:val="28"/>
          <w:szCs w:val="28"/>
          <w:lang w:eastAsia="ru-RU"/>
        </w:rPr>
        <w:t>лечения</w:t>
      </w:r>
    </w:p>
    <w:p w:rsidR="00792F6B" w:rsidRPr="009724D7" w:rsidRDefault="00792F6B" w:rsidP="009724D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Менопаузальная гормональная терапия</w:t>
      </w:r>
      <w:r w:rsidR="009724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МГТ снижает частоту возникновения всех видов переломов, включая переломы позвонков и бедра, даже у женщин, не имеющих высокого риска переломов.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МГТ - единственный вид терапии с доказанной эффективностью в отношении снижения частоты переломов у пациентов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остеопенией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МГТ является наиболее подходящим видом терапии для профилактики переломов в ранней постменопаузе.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МГТ предотвращает переломы в любом возрасте после наступления менопаузы, важен возраст начала МГТ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1, 3,4, 41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Желательно начинать МГТ в возрасте 50-60 лет, или не позже 10 лет после наступления менопаузы, тогда преимущества МГТ с наибольшей вероятность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ю перевешивают какой-либо риск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МГТ может рассматриваться в качестве терапии первой линии. Начало МГТ в возрасте 60-70 лет требует индивидуальной оценки соотношения преимуществ и рисков, рассмотрения возможности применения других имеющихся препаратов и наименьшей эффективной дозы.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Не следует начинать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МГТ у пациенток с остеопорозом старше </w:t>
      </w:r>
      <w:r w:rsidR="00544F0B" w:rsidRPr="00366126">
        <w:rPr>
          <w:rFonts w:ascii="Times New Roman" w:eastAsia="Times New Roman" w:hAnsi="Times New Roman"/>
          <w:sz w:val="28"/>
          <w:szCs w:val="28"/>
          <w:lang w:eastAsia="ru-RU"/>
        </w:rPr>
        <w:t>70 лет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Отсутствуют обязательные ограничения продолжительности применения МГТ при условии, что она соответствует целям лечения.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Протективное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МГТ на МПК уменьшается после отмены терапии с непредсказуемой скоростью, хотя в некоторой степени защита от переломов может сохраняться после отмены 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 xml:space="preserve">ГТ 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724D7">
        <w:rPr>
          <w:rFonts w:ascii="Times New Roman" w:eastAsia="Times New Roman" w:hAnsi="Times New Roman"/>
          <w:sz w:val="28"/>
          <w:szCs w:val="28"/>
          <w:lang w:eastAsia="ru-RU"/>
        </w:rPr>
        <w:t>3, 4</w:t>
      </w:r>
      <w:r w:rsidR="009724D7" w:rsidRPr="009724D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9724D7" w:rsidRDefault="007B7C11" w:rsidP="009724D7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792F6B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продолжении МГТ с единственной целью - профилактика переломов - следует принимать во внимание риск переломов и другие возможные отдаленные риски. 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Кальций и витамин D в лечении остеопороза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6126">
        <w:rPr>
          <w:rFonts w:ascii="Times New Roman" w:hAnsi="Times New Roman"/>
          <w:sz w:val="28"/>
          <w:szCs w:val="28"/>
        </w:rPr>
        <w:t xml:space="preserve">Специальные исследования показали, что женщины всех возрастных групп потребляют с пищей значительно меньше кальция, чем рекомендуется: менее 15% женщин в возрасте до 50 лет и менее 5% в возрасте до 70 лет потребляют продукты с необходимым количеством кальция, в то же </w:t>
      </w:r>
      <w:r w:rsidR="007B7C11" w:rsidRPr="00366126">
        <w:rPr>
          <w:rFonts w:ascii="Times New Roman" w:hAnsi="Times New Roman"/>
          <w:sz w:val="28"/>
          <w:szCs w:val="28"/>
        </w:rPr>
        <w:t xml:space="preserve">время 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высокое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потребление диетического кальция (но не его добавок), снижает риск ССЗ, переломов и смертности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3, 4, 8, 43</w:t>
      </w:r>
      <w:proofErr w:type="gramEnd"/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женщинами диетического кальция и его добавок, не превышающих допустимых верхних уровней общего потребления (2000 мг), независимо от приема витамина 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не является фактором рис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ка ССЗ у здоровых взрослых лиц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2202C" w:rsidRPr="00366126">
        <w:rPr>
          <w:rFonts w:ascii="Times New Roman" w:eastAsia="Times New Roman" w:hAnsi="Times New Roman"/>
          <w:sz w:val="28"/>
          <w:szCs w:val="28"/>
          <w:lang w:eastAsia="ru-RU"/>
        </w:rPr>
        <w:t>3,4, 8, 44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Высокое общее потребление кальция женщинами в возрасте от 45 до 84 лет коррелирует со снижением риска инцидентов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кальцификации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артерий (САС), если оно достигается без приема добавок, тогда как прием добавок кальция коррелирует с повышением риска инцидентов САС на 22% после корректировки с показателями полного его потребления. Следует ограничить прием препаратов кальция диетическим потреблением кальция, поскольку рутинное применение препаратов кальция не оправдано с точки зрения эффективности, безопасности и экономики здравоохранения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2202C" w:rsidRPr="00366126">
        <w:rPr>
          <w:rFonts w:ascii="Times New Roman" w:eastAsia="Times New Roman" w:hAnsi="Times New Roman"/>
          <w:sz w:val="28"/>
          <w:szCs w:val="28"/>
          <w:lang w:eastAsia="ru-RU"/>
        </w:rPr>
        <w:t>3, 4, 4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5, 48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Для женщин в постменопаузе рекомендуемое потребление с пищей (РПП) элементарного кальция составляет 1200 мг/день, что желательно получать с богатой кальцием диетой. При невозможности достижения рекомендованных диетических норм, применяют добавки кальция – 500 мг/день (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129)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 Избыточный прием препаратов кальция может способствовать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кальциурии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гиперкальцемии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повышению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сердечно-сосудистого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риска, образованию камней в почках, отложению кальция в артериях и развитию запора</w:t>
      </w:r>
      <w:r w:rsidR="00217BF4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3, 4, 8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B7C11" w:rsidRPr="00E837FC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Наряду с препаратами кальция при лечении остеопороза необходимо включать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препараты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витамина D.  В присутствии достаточного количества 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кальция витамин D способен активировать абсорбцию его в кишечнике на 70–80% и обеспечивать минерализацию скелета.</w:t>
      </w:r>
    </w:p>
    <w:p w:rsidR="007B7C11" w:rsidRPr="00366126" w:rsidRDefault="00792F6B" w:rsidP="00A610D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b/>
          <w:i/>
          <w:iCs/>
          <w:color w:val="000000"/>
          <w:sz w:val="28"/>
          <w:szCs w:val="28"/>
        </w:rPr>
        <w:t>Витамин D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это группа стероидных гормонов, которые образуются в организме на основе поступающих с пищевыми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продуктами витаминов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D2 и D3 и синтезирующегося в коже под действием ультрафиолетовых лучей витамина D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29, 53, 54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2F6B" w:rsidRPr="00366126" w:rsidRDefault="00792F6B" w:rsidP="00A610D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Витамин D - важный регулятор костного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обмена, который ассоциируется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развитием ССЗ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онкологических заболеваний, сахарным диабетом, рассеянным склерозом и др.  Одной из основных причин мирового дефицита витамина D является недостаточное воздействие солнечного излучения. В северных широтах синтез витамина D в коже может быть ограничен полугодом. Также немаловажно, что у пожилых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людей имеется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возрастное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снижение способности кожи продуцировать D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то, что абсорбция его в кишечнике с возрастом снижается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1, 3, 4, 7, 8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Постменопауза и возрастной дефицит эстрогенов также влияют на усвоение витамина D.</w:t>
      </w:r>
    </w:p>
    <w:p w:rsidR="007B7C11" w:rsidRPr="00366126" w:rsidRDefault="00792F6B" w:rsidP="00A610D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Длительно существующие низкие уровни витамина D могут приводить к недостаточной абсорбции кальция в кишечнике, в результате чего развивается вторичный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гиперпаратиреоз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повышением мобилизации кальция из костей, развитием остеопороза, в ряде случаев – в сочетании с остеомаляцией. Витамин D поддерживает формирование и обменные процессы в мышечной ткани, особенно на уровне быстрых мышечных волокон (имеется повышенный риск падений у лиц с дефицитом этого витамина).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Назначение D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кальцием приводит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увеличению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мышечной силы и координации движений и снижает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частоту переломов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падения </w:t>
      </w:r>
      <w:proofErr w:type="gram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пожилых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4, 8, 29, 30, 36,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40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Полное восполнение дефицита витамина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 пищевыми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продуктами не всегда представляется возможным, т. к. он содержится в основном в жирной рыбе (сельдь, скумбрия, лосось), в рыбьем жире,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печени и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жире водных млекопитающих 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4, 8, 29, 43</w:t>
      </w:r>
      <w:r w:rsidR="00E837FC" w:rsidRP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Профилактика дефицита витамина D 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рекомендуется с применением активных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метаболитов витамина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D: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колекальциферола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(D3) 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эргокальциферола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(D2). В лечебных же программах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дефицит витамина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 восполняется только препаратом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колекальциферола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рекомендован у пожилых пациентов с высоким риском падений как монотерапия или в комбинации с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антирезорбтивной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терапией. Суточная доза витамина D должна составлять не менее 800 МЕ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Комбинация кальция с витамином D снижает на 12% (p=0,025) риск всех переломов, на 26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–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риск переломов бедра (p=0,005)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42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544F0B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B7C11" w:rsidRPr="00366126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поддержания достаточного для </w:t>
      </w:r>
      <w:proofErr w:type="spellStart"/>
      <w:proofErr w:type="gramStart"/>
      <w:r w:rsidRPr="00366126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proofErr w:type="gramEnd"/>
      <w:r w:rsidRPr="00366126">
        <w:rPr>
          <w:rFonts w:ascii="Times New Roman" w:hAnsi="Times New Roman"/>
          <w:color w:val="000000"/>
          <w:sz w:val="28"/>
          <w:szCs w:val="28"/>
        </w:rPr>
        <w:t xml:space="preserve"> здоровья костной ткани уровня 25 (ОН)</w:t>
      </w:r>
      <w:r w:rsidRPr="0036612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– 25-гидрокисивитамина</w:t>
      </w:r>
      <w:r w:rsidRPr="0036612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) более 74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нмоль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/л (30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нг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/мл) показатель для витамина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составляет 800-1000 МЕ/день)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 4, 8, 29, 43).</w:t>
      </w:r>
      <w:r w:rsidRPr="0036612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 </w:t>
      </w:r>
    </w:p>
    <w:p w:rsidR="00792F6B" w:rsidRPr="00366126" w:rsidRDefault="00792F6B" w:rsidP="00E837FC">
      <w:pPr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Типичные ошибки в питании пациентов с остеопорозом: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недостаточное количество кальция в рационе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избыточное количество пищевых волокон, фитиновой и щавелевой кислоты, которые ухудшают усвоение кальция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белков в рационе, приводящий к отрицательному азотистому балансу и снижению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репаративных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процессов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слишком большое количество белков в рационе, что способствует повышенному выведению кальция с мочой (на каждые 50 г белка сверх нормы с мочой теряется 60 мг кальция)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избыток углеводов в рационе, также приводящий к повышенной потере кальция с мочой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избыток фосфора в рационе, ухудшающий усвоение кальция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злоупотребление алкоголем и напитками с высоким содержанием кофеина (кофе, крепким чаем, колой, шоколадом), что увеличивает потерю кальция с мочой и фекалиями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слишком большое количество натрия, приводящее к потере кальция с мочой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избыточная (реже – недостаточная) энергетическая ценность рациона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дефицит витамина D в рационе и недостаточная инсоляция, необходимая для эндогенного синтеза витамина</w:t>
      </w:r>
    </w:p>
    <w:p w:rsidR="00792F6B" w:rsidRPr="00366126" w:rsidRDefault="00792F6B" w:rsidP="00E837FC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недостаток жиров в рационе, который ведет к нарушению усвоения всех жирорастворимых витаминов, в том числе и витамина D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</w:rPr>
        <w:t>Все больные с остеопорозом, не отягощенные заболеваниями, требующими специальной диетотерапии, должны получать рациональное сбалансированное питание с физиологическим содержанием белка в пищевом рационе, но с повышенным содержанием кальция и витамина D, в том числе и за счет специальных пищевых добавок и лекарственных препаратов</w:t>
      </w:r>
      <w:r w:rsidR="00E837FC">
        <w:rPr>
          <w:rFonts w:ascii="Times New Roman" w:hAnsi="Times New Roman"/>
          <w:sz w:val="28"/>
          <w:szCs w:val="28"/>
        </w:rPr>
        <w:t xml:space="preserve"> </w:t>
      </w:r>
      <w:r w:rsidR="00E837FC" w:rsidRPr="00E837FC">
        <w:rPr>
          <w:rFonts w:ascii="Times New Roman" w:hAnsi="Times New Roman"/>
          <w:sz w:val="28"/>
          <w:szCs w:val="28"/>
        </w:rPr>
        <w:t>[</w:t>
      </w:r>
      <w:r w:rsidR="00E837FC">
        <w:rPr>
          <w:rFonts w:ascii="Times New Roman" w:hAnsi="Times New Roman"/>
          <w:sz w:val="28"/>
          <w:szCs w:val="28"/>
        </w:rPr>
        <w:t>56, 57, 58, 59, 60</w:t>
      </w:r>
      <w:r w:rsidR="00E837FC" w:rsidRPr="00E837FC">
        <w:rPr>
          <w:rFonts w:ascii="Times New Roman" w:hAnsi="Times New Roman"/>
          <w:sz w:val="28"/>
          <w:szCs w:val="28"/>
        </w:rPr>
        <w:t>]</w:t>
      </w:r>
      <w:r w:rsidRPr="00366126">
        <w:rPr>
          <w:rFonts w:ascii="Times New Roman" w:hAnsi="Times New Roman"/>
          <w:sz w:val="28"/>
          <w:szCs w:val="28"/>
        </w:rPr>
        <w:t>.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sz w:val="28"/>
          <w:szCs w:val="28"/>
        </w:rPr>
        <w:t xml:space="preserve">Поскольку остеопороз обычно успевает развиться до клинически развернутой стадии, прежде чем его эффекты становятся явными, профилактика потери костной массы является единственным наилучшим способом избежать возможности переломов и возникающей в результате инвалидности. </w:t>
      </w:r>
    </w:p>
    <w:p w:rsidR="007B7C11" w:rsidRPr="00366126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Остепороз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хроническое заболевание, требующее длительного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лечения, основной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целью которого является нормализация процессов костного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ремоделирования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приводящая к   подавлению костной резорбции и стимуляции костеобразования,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способствующего снижению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частоты переломов и улучшению качества жизни у пациенток в пре- и постменопаузе.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Костный обмен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характеризуется сопряженностью, и при уменьшении костного разрушения снижается и костеобразование, а при увеличении костеобразования постепенно увеличивается костная резорбция. Это достигается посредством применения 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профилактических (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см. выше) и фармакологических методов (патогенетическая терапия). </w:t>
      </w:r>
    </w:p>
    <w:p w:rsidR="007B7C11" w:rsidRPr="00366126" w:rsidRDefault="00792F6B" w:rsidP="00E837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Патогенетическая терапия остеопороза включает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антирезобтивные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препараты, подавляющие костную резорбцию, действующие на остеокласт (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бисфосфонаты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деносумаб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селективные модуляторы эстрогенных рецепторов, эстрогены</w:t>
      </w:r>
      <w:r w:rsidR="007B7C11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 усиливающие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костеобразование (фториды, анаболические стероиды, андрогены), а также лекарственные средства, 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оказывающие многостороннее действие на костную ткань (соли кальция, витамин D и его активные метаболиты и др.) 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217BF4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3, 4, 8, 29, 43, 51, 55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D2B2D"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61, 65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92F6B" w:rsidRPr="00E37BDE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наиболее широко используемыми препаратами первой линии терапии постменопаузального остеопороза являются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деносумаб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азотсодержащие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бисфосфонаты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Механизмы действия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деносумаба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бисфосфонатов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существенно различаются</w:t>
      </w:r>
      <w:r w:rsid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E837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3, 4, 8, 62, 63, 64</w:t>
      </w:r>
      <w:r w:rsidR="00E837FC" w:rsidRPr="00E37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алендронат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ризедронат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золедроновая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кислота) -  мощные ингибиторы резорбции кости с доказанной эффективностью в отношении профилактики переломов позвонков и бедра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3, 4, 8, 29, 43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E837FC" w:rsidRDefault="00792F6B" w:rsidP="00E837FC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существенные проблемы безопасности: выявлена взаимосвязь между атипичным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диафизарным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переломом бедренной кости и чрезмерной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супрессией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костного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ремоделирования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применения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3-5 лет. Перерыв в применении препарата может быть рассмотрен через 3 года внутривенного введения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золедроновой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 или 5 лет перорального применения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алендроната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, при условии, что МПК повышается до определяемого с помощью ДЭРА Т-</w:t>
      </w:r>
      <w:r w:rsidR="00544F0B" w:rsidRPr="00366126">
        <w:rPr>
          <w:rFonts w:ascii="Times New Roman" w:eastAsia="Times New Roman" w:hAnsi="Times New Roman"/>
          <w:sz w:val="28"/>
          <w:szCs w:val="28"/>
          <w:lang w:eastAsia="ru-RU"/>
        </w:rPr>
        <w:t>критерия&gt; -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2,5 и при отсутствии каких-либо переломов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333D7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29, 43, 63</w:t>
      </w:r>
      <w:r w:rsidR="00E837FC" w:rsidRPr="00333D7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Связанный с применением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бисфосфонатов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остеонекроз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челюсти является редким осложнением, и обычно риск имеется только при применении доз, превышающих рекомендованные для профилактики переломов дозы. Отсутствуют доказательства того, что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предотвращают переломы у пациентов с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остеопенией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Селективные модуляторы </w:t>
      </w: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эстрогеновых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рецепторов 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СМЭР,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ралоксифен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базедоксифен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снижают частоту переломов позвонков у женщин в постменопаузе как с наличием в анамнезе переломов позвонков, так и без таковых.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Базедоксифен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предотвращает переломы бедра в особой группе женщин с высоким риском переломов бедра.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Ралоксифен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предотвращает ЭР-положительный рак молочной железы у женщин с остеопорозом. СМЭР не облегчают вазомоторные симптомы, связанные с менопаузой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29, 43, 55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Паратиреоидный гормон 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ПТГ - анаболический агент, значительно снижающий риск переломов позвонков за счет стимуляции костеобразования</w:t>
      </w:r>
      <w:r w:rsidR="00BD2B2D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4, 29, 43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ПТГ показан в случаях тяжелого остеопороза или для пациентов, у которых произошел перелом на фоне других видов терапии. ПТГ применяется в виде ежедневных подкожных инъекций на протяжении максимально 18 месяцев. После данного периода необходимо рассмотреть вопрос применения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антирезорбтивного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средства. Применение ПТГ ограничено его стоимостью, которая значительно превышает таковую других имеющихся средств. Предшествующее лечение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бисфосфонатами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уменьшает эффективность последующего использ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ПТГ.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Стронция </w:t>
      </w: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ранелат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E837FC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Применение стронция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ранелата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 снижает риск переломов позвонков и другой локализации у пациентов с остеопорозом, вне зависимости от наличия перелома или возраста</w:t>
      </w:r>
      <w:r w:rsidR="00BD2B2D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8, 29, 43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Недавние опасения относительно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сердечно-сосудистой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ограничили применение стронция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ранелата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случаями тяжелого остеопороза у пациентов с низким риском сердечно-сосудистых заболеваний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1, 3, 4, 8, 29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2F6B" w:rsidRPr="00366126" w:rsidRDefault="00792F6B" w:rsidP="00E837FC">
      <w:pPr>
        <w:keepNext/>
        <w:keepLines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92F6B" w:rsidRPr="00366126" w:rsidRDefault="00792F6B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человеческое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моноклональное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антитело к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лиганду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рецептора активатора ядерного фактора каппа В (RANKL).  При подкожном введении в дозе 60 мг каждые 6 месяцев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значительно уменьшает риск переломов позвонков, бедра и других локализаций</w:t>
      </w:r>
      <w:r w:rsidR="00BD2B2D" w:rsidRPr="0036612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sz w:val="28"/>
          <w:szCs w:val="28"/>
          <w:lang w:eastAsia="ru-RU"/>
        </w:rPr>
        <w:t>3,4, 8, 29, 43</w:t>
      </w:r>
      <w:r w:rsidR="00E837FC" w:rsidRPr="00E837F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Обычно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безопасен и хорошо переносится. </w:t>
      </w:r>
    </w:p>
    <w:p w:rsidR="00792F6B" w:rsidRPr="00E37BDE" w:rsidRDefault="00792F6B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7FC" w:rsidRPr="00E37BDE" w:rsidRDefault="00E837FC" w:rsidP="001A6D8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BEC" w:rsidRPr="00E37BDE" w:rsidRDefault="007B7C11" w:rsidP="00CE4644">
      <w:p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ГЕНИТОУРИНАРНЫЙ СИНДРОМ В МЕНОПАУЗЕ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переходном периоде появляются гистологические и функциональные изменения в эпителии влагалища и урогенитального тракта,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обусловленные снижением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уровней эстрогенов, при этом более половины всех женщин в постменопаузе столкнутся с симптомами, связанными с атрофией тканей. Симптомы и признаки атрофических процессов в мочеполовой системе чаще проявляется в поздней постменопаузе и включают сухость, раздражение, зуд и жжение вульвы и влагалища,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посткоитальное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кровотечение,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диспареунию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снижение сексуального влечения и влагалищной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смазки во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половой жизни, стрессовое, ургентное недержание мочи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ноктурию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Крайне важно врачу на приеме спрашивать о наличии подобных симптомов, поскольку нередко пациентки стесняются или считают это возрастной нормой. Лишь 57% женщин отметили, что подобные вопросы были заданы врачом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3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BD2B2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1, 3, 5</w:t>
      </w:r>
      <w:r w:rsidR="00E837FC" w:rsidRPr="00E37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NAMS/ISSWSH предложили новое определение для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атрофии (ВВА). Она была названа урогенитальным синдромом менопаузы (УСМ) для того, чтобы более точно описать комплекс урогенитальных симптомов и при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знаков, связанных с менопаузой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Частота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составляет от 13%   –в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перименопаузе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60% –в постменопаузе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4, 7, 8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Женщины плохо осведомлены о том, что ВВА является хроническим состоянием, значительно воздействующим на сексуальное здоровье и качество жизни, и что существует эф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фективное и безопасное лечение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1, 8, 67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Начиная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пременопаузы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подавляющего большинства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женщин по мере возникновения дефицита эстрогенов прогрессивно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возникает атрофия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влагалищного эпителия, что приводит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снижению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лактобактерий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приводит к изменению рН среды из кислой в щелочную, что повышает вероятность воспалительных заболеваний половых путей и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мочевыводящей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 преимущественно с восходящим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инфицированием.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B7C11" w:rsidRPr="00E837FC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Если нейровегетативные, вазомоторные расстройства имеют тенденцию к улучшению без специфической терапии, то симптомы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не исчезают, а прогрессируют, преследуют женщин до самой старости, неуклонно прогрессируя, негативно влияют на сексуальное здоровье и качество жизни женщины и практическ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 корригируется без лечения.</w:t>
      </w:r>
    </w:p>
    <w:p w:rsidR="007C4BEC" w:rsidRPr="00366126" w:rsidRDefault="007C4BEC" w:rsidP="00E837FC">
      <w:pPr>
        <w:spacing w:after="29" w:line="268" w:lineRule="auto"/>
        <w:ind w:right="243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Лечение </w:t>
      </w:r>
      <w:proofErr w:type="spellStart"/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синдрома</w:t>
      </w:r>
    </w:p>
    <w:p w:rsidR="007C4BEC" w:rsidRPr="00366126" w:rsidRDefault="007C4BEC" w:rsidP="00E837FC">
      <w:pPr>
        <w:spacing w:after="29" w:line="360" w:lineRule="auto"/>
        <w:ind w:right="24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Лечение следует начинать рано, прежде чем произойдут необратимые атрофические изменения и его необходимо продолжать для сохранения полученных преимуществ. Принципы лечения у женщин с установленным диагнозом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атрофии включают восстановление физиологии урогенитального тракта и облегчение симптомов. Лечение начинают с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системной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МГТ, поскольку у женщин одновременно имеются вазомоторные симптомы или необходимо проводить профилактику остеопор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оза при наличии факторов риска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3, 4, 8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Эффективными для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вульвовагинальной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атрофии являются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ультранизкодозированные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препараты (например,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эстрадиол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дроспиренон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½), прием которых способствует снижению рН влагалища, улучшению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показателей вагинального индекса созревания клеток эпителия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Системная МГТ способствует уменьшению выраженности сухости влагалища, раздражению слизистой вульвы и влагалища, снижению проявлений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диспареунии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одновременным снижением проявлений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нейровегетавных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симпомов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случаях отсутствия значимого облегчения проявлений вагинальных симптомов на фоне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системной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МГТ, дополнительно назначаются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вагинальные эстрогены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1, 4, 8, 69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70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женщин, имеющих жалобы только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сухость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раздражение, зуд и жжение вульвы и влагалища,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посткоитальное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кровотечение,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диспареунию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снижение сексуального влечения и влагалищной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смазки во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половой жизни, стрессовое или ургентное недержание мочи предпочтительна влагалищная терапия эстрогенами в низких дозах. В России для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вагинального введения зарегистрирован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дозах от 0,5 до 0,03 мкг, который вначале используется ежедневно, а по мере купирования симптомов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– 2 раза в неделю. Локальную терапию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эстриолом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проводить как в виде монотерапии, так и в сочетании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лактобактериями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и/или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любрикантами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Системная резорбция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эстриола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минимальна, его уровни в крови определяются в пределах нормальных для постменопаузы значений (≤ 20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/мл), поэтому данную терапию можно проводить в непрерывном режиме, пока есть показания, без ограничений для перерывов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последующего возобновления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3, 4, 8, 71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локального применения соответствующей низкой дозы эстрогенов дополнительное использование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прогестагена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требуется, хотя данных длительного применения (более 1 года)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544F0B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много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Длительная локальная терапия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генитоуринарного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синдрома не приводить к повышенному риску венозной тромбоэмболии.  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раке эндометрия или молочной железы в анамнезе локальная терапия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препаратами возможна только после консультации онколога с учетом информированности женщины о потенциальных рисках проведения данной терапии. Существует мало данных об использовании вагинальных эстрогенов у женщин с гинекологическими гормонально-зависимыми формами рака, поэтому их следует использовать с осторожностью. Применение локальных эстрогенов у женщин, получающих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тамоксифен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ингибиторы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ароматазы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требует тщательного консультирования и обсуждения с пациенткой и онкологами. Данные </w:t>
      </w:r>
      <w:r w:rsid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пациентки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пользоваться средствами для увлажнения влагалища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любрикантами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сочетании с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лактобактериями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следует рекомендовать половую жизнь на регулярной основе.</w:t>
      </w:r>
    </w:p>
    <w:p w:rsidR="007C4BEC" w:rsidRPr="00366126" w:rsidRDefault="007C4BEC" w:rsidP="00E837FC">
      <w:pPr>
        <w:spacing w:after="5" w:line="360" w:lineRule="auto"/>
        <w:ind w:right="6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Положительный частичный эффект локальной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эстроген-терапии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наблюдаться при рецидивирующих урогенитальных инфекциях,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гиперактивном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мочевом пузыре, дизурии, ургентном недержании мочи, что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требует тщательного сбора анамнеза, обследования, консультации уролога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1, 7, 8, 69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Применение системной МГТ, не предотвращает развитие недержания мочи и не имеет преимуществ перед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низкодозированными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локальными препаратами эстрогенов при ведении пациенток с урогенитальной атрофией или рецидивирующими инфекциями нижних мочевых путей. 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женщин при наличии симптомов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мочевого пузыря изменение образа жизни и тренировка мочевого пузыря рекомендованы в качестве терапии первой линии. Лекарственной терапией первой линии у женщин в постменопаузе с симптомами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мочевого пузыря является применение антихолинергических препаратов в комбинации с локальными эстрогенами.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женщины, жалующиеся на стрессовое недержание мочи, получат пользу, прежде всего, от тренировки мышц тазового дна. В настоящее время не признается роль системной терапии эстрогенами у женщин с чистым стрессовым недержанием мочи.</w:t>
      </w:r>
    </w:p>
    <w:p w:rsidR="007B7C11" w:rsidRPr="00E837FC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стрессовом недержании мочи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Дулоксетин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оказывать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синергичное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консервативной терапией действие. Тем не менее, некоторым женщинам в конечном счете будет проведена хирургическая операция, при этом наиболее популярными в настоящее время процедурами являются создание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позадилобкового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трансобтураторного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слинга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сочетании пролапса тазовых органов и стрессового недержания мочи выполняется сочетанная операция – реконструктивно-пластическая операция по коррекции пролапса с одновременной установкой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слинга</w:t>
      </w:r>
      <w:proofErr w:type="spellEnd"/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4, 8, 69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keepNext/>
        <w:keepLines/>
        <w:spacing w:after="3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Эстрогены в ведении пациенток с рецидивирующими инфекциями мочеполового тракта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Терапия эстрогенами снижает рН влагалища и способствует нивелированию микробиологических изменений, отмечающихся во влагалище после наступления менопаузы, способствует профилактике рецидивирующих инфекций мочевыводящих путей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1, 3, 4, 8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применение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пероральных эстрогенов неэффективно (ОР 1,08; 95% ДИ 0,88-1,33) а вагинальное применение эстрогенов снижало количество инфекций в сравнении с плацебо (ОР 0,25; 95% ДИ 0,13-0,50 и ОР 0,64;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95% ДИ 0,47-0,86, соответственно). </w:t>
      </w:r>
      <w:proofErr w:type="gramEnd"/>
    </w:p>
    <w:p w:rsidR="007C4BEC" w:rsidRPr="00E37BDE" w:rsidRDefault="007C4BEC" w:rsidP="00E837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4BEC" w:rsidRPr="00E837FC" w:rsidRDefault="007B7C11" w:rsidP="00CE4644">
      <w:pPr>
        <w:spacing w:after="39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СЕКСУАЛЬНАЯ ДИСФУНКЦИЯ</w:t>
      </w:r>
    </w:p>
    <w:p w:rsidR="007C4BEC" w:rsidRPr="00366126" w:rsidRDefault="007C4BEC" w:rsidP="00E837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Здоровое старение имеет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качества жизни в целом и сексуального благополучия, а сексуальность все еще важна для многих пожилых 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 в менопаузальном периоде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В то же время в пожилом возрасте формируются некоторые особенности сексуальности, обусловленные изменением внешнего вида тела, </w:t>
      </w:r>
      <w:r w:rsidR="007B7C11" w:rsidRPr="00366126">
        <w:rPr>
          <w:rFonts w:ascii="Times New Roman" w:hAnsi="Times New Roman"/>
          <w:color w:val="000000"/>
          <w:sz w:val="28"/>
          <w:szCs w:val="28"/>
        </w:rPr>
        <w:t>формирующего чувство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стыда, отрицание сексуальных контактов, снижением либидо</w:t>
      </w:r>
      <w:r w:rsidR="00E83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[</w:t>
      </w:r>
      <w:r w:rsidR="00E837FC">
        <w:rPr>
          <w:rFonts w:ascii="Times New Roman" w:hAnsi="Times New Roman"/>
          <w:color w:val="000000"/>
          <w:sz w:val="28"/>
          <w:szCs w:val="28"/>
        </w:rPr>
        <w:t>1, 67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C4BEC" w:rsidRPr="00366126" w:rsidRDefault="007C4BEC" w:rsidP="00E837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возрастом происходит снижение частоты сексуальных контактов, меняется их форма, которая может широко варьировать и включать в себя, например, только касания, приемлемые для обоих партнеров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. Особенностью сексуальности у пожилых женщин нередко является отказ от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коитальных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 контактов в связи с симптомами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генитоуринарного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 синдрома (сухость, раздражение, зуд и жжение вульвы и влагалища,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посткоитальное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 кровотечение,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</w:rPr>
        <w:t>диспареунию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</w:rPr>
        <w:t xml:space="preserve">, снижение влагалищной </w:t>
      </w:r>
      <w:r w:rsidR="007B7C11" w:rsidRPr="00366126">
        <w:rPr>
          <w:rFonts w:ascii="Times New Roman" w:hAnsi="Times New Roman"/>
          <w:color w:val="000000"/>
          <w:sz w:val="28"/>
          <w:szCs w:val="28"/>
        </w:rPr>
        <w:t>смазки во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 время половой жизни), приводящие к неприятным и болезненным ощущениям.</w:t>
      </w:r>
      <w:r w:rsidRPr="00366126">
        <w:rPr>
          <w:rFonts w:ascii="Times New Roman" w:hAnsi="Times New Roman"/>
          <w:sz w:val="28"/>
          <w:szCs w:val="28"/>
        </w:rPr>
        <w:t xml:space="preserve"> </w:t>
      </w:r>
      <w:r w:rsidRPr="00366126">
        <w:rPr>
          <w:rFonts w:ascii="Times New Roman" w:hAnsi="Times New Roman"/>
          <w:color w:val="000000"/>
          <w:sz w:val="28"/>
          <w:szCs w:val="28"/>
        </w:rPr>
        <w:t xml:space="preserve">Значительной психологической проблемой пожилых женщин является непонимание собственных физиологических возрастных изменений, склонность драматизировать события и расценивать возникшие изменения как патологические. В этом плане важно объяснять пожилым людям особенности возрастной сексуальности, что поможет избежать внутреннего конфликта и дискомфорта 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[</w:t>
      </w:r>
      <w:r w:rsidRPr="00366126">
        <w:rPr>
          <w:rFonts w:ascii="Times New Roman" w:hAnsi="Times New Roman"/>
          <w:color w:val="000000"/>
          <w:sz w:val="28"/>
          <w:szCs w:val="28"/>
        </w:rPr>
        <w:t>3</w:t>
      </w:r>
      <w:r w:rsidR="00A06E3D" w:rsidRPr="00366126">
        <w:rPr>
          <w:rFonts w:ascii="Times New Roman" w:hAnsi="Times New Roman"/>
          <w:color w:val="000000"/>
          <w:sz w:val="28"/>
          <w:szCs w:val="28"/>
        </w:rPr>
        <w:t>, 4, 8, 70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</w:rPr>
        <w:t>.</w:t>
      </w:r>
    </w:p>
    <w:p w:rsidR="007C4BEC" w:rsidRPr="00366126" w:rsidRDefault="007C4BEC" w:rsidP="00E837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6126">
        <w:rPr>
          <w:rFonts w:ascii="Times New Roman" w:hAnsi="Times New Roman"/>
          <w:color w:val="000000"/>
          <w:sz w:val="28"/>
          <w:szCs w:val="28"/>
        </w:rPr>
        <w:t xml:space="preserve">Сердечно-сосудистая патология, часто встречающаяся в пожилом возрасте, может обусловить ухудшение самочувствия на фоне сексуальной активности, развитие приступов стенокардии, повышение артериального давления. Патология опорно-двигательного аппарата способна вызвать </w:t>
      </w:r>
      <w:r w:rsidRPr="00366126"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болевой синдром при занятиях сексом. Все это нередко вынуждает пожилых женщин избегать активных сексуальных отношений 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[</w:t>
      </w:r>
      <w:r w:rsidRPr="00366126">
        <w:rPr>
          <w:rFonts w:ascii="Times New Roman" w:hAnsi="Times New Roman"/>
          <w:color w:val="000000"/>
          <w:sz w:val="28"/>
          <w:szCs w:val="28"/>
        </w:rPr>
        <w:t>4</w:t>
      </w:r>
      <w:r w:rsidR="00A06E3D" w:rsidRPr="00366126">
        <w:rPr>
          <w:rFonts w:ascii="Times New Roman" w:hAnsi="Times New Roman"/>
          <w:color w:val="000000"/>
          <w:sz w:val="28"/>
          <w:szCs w:val="28"/>
        </w:rPr>
        <w:t>, 8</w:t>
      </w:r>
      <w:r w:rsidR="00E837FC" w:rsidRPr="00E837FC">
        <w:rPr>
          <w:rFonts w:ascii="Times New Roman" w:hAnsi="Times New Roman"/>
          <w:color w:val="000000"/>
          <w:sz w:val="28"/>
          <w:szCs w:val="28"/>
        </w:rPr>
        <w:t>]</w:t>
      </w:r>
      <w:r w:rsidRPr="00366126">
        <w:rPr>
          <w:rFonts w:ascii="Times New Roman" w:hAnsi="Times New Roman"/>
          <w:color w:val="000000"/>
          <w:sz w:val="28"/>
          <w:szCs w:val="28"/>
        </w:rPr>
        <w:t>. Нередко соматическая патология оказывает влияние не только на половую функцию, но и качество жизни, приводя к его снижению.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Хирургическая менопауза с большей вероятностью приводит к сексуальной дисфункции, особенно сниженному сексуальному влечению,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обусловленное</w:t>
      </w:r>
      <w:proofErr w:type="gram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глубокой эндокринной недостаточностью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8,12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Особое внимание следует уделять женщинам с естественной менопаузой в более молодом возрасте, поскольку бремя преждевременной менопаузы включает в себя несколько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биопсихосоциальных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аспектов, влияющих на качество жизни и сексуальное благополучие, включая в некоторых случаях горе бесплодия. </w:t>
      </w:r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Ятрогенная менопауза у перенесших рак молочной железы и у женщин с другими злокачественными новообразованиями крайне разрушительна в контексте качества жизни и сексуального благополучия, и это тот вопрос, который требует дальнейшего изучения в свете складывающейся реальности перенесших рак пациенток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4, 8, 10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в обязательном порядке использовать соответствующие вопросы для оценки сексуального благополучия, </w:t>
      </w:r>
      <w:r w:rsidR="00544F0B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поскольку женщины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не готовы самостоятельно начать разговор о сексуальном интересе, поведении и активности, но они, как правило, ценят, когда об этом спрашивает врач. </w:t>
      </w:r>
      <w:proofErr w:type="spellStart"/>
      <w:proofErr w:type="gram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Валидированные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методы (самостоятельно заполняемые анкеты, ежедневники и журналы событий (полу-структурированные интервью) можно использовать должным образом с целью диагностики женской сексуальной дисфункции (ЖСД) и получения информации о сексуальных концепциях и взаимоотношениях, принимая во внимание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биопсихосоциальную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модель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учитывать, что сексуальная дисфункция является распространённым побочным эффектом приёма многих назначаемых лекарств. Пожилым людям свойственен длительный приём лекарств, отпускаемых по рецепту, а </w:t>
      </w:r>
      <w:r w:rsidR="007B7C11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одновременное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назначение множества 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лекарственных средств (полипрагмазия) в силу хронического характера заболеваний. Спектр препаратов, которые могут негативно сказаться на сексуальном здоровье, довольно широк и включает препараты, снижающие артериальное давление, психотропные лекарства, некоторые противоэпилептические средства. К тому же, некоторые препараты, например,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антипаркинсонические</w:t>
      </w:r>
      <w:proofErr w:type="spellEnd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средства, могут вызвать </w:t>
      </w:r>
      <w:proofErr w:type="spellStart"/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гиперсексуальность</w:t>
      </w:r>
      <w:proofErr w:type="spellEnd"/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4, 8, 67</w:t>
      </w:r>
      <w:r w:rsidR="00E837FC" w:rsidRPr="00E83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4BEC" w:rsidRPr="00366126" w:rsidRDefault="007C4BEC" w:rsidP="00E837F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уровней циркулирующих половых стероидов обычно не приносит пользы, а диагностика андрогенного дефицита у здоровых женщин не должна в первую очередь основываться на определении уровней андрогенов, поскольку данные об их корреляции со специфическими признаками и симптомами в</w:t>
      </w:r>
      <w:r w:rsidR="002F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время противоречивы </w:t>
      </w:r>
      <w:r w:rsidR="002F7DE0" w:rsidRPr="002F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A06E3D"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1, 7, 8</w:t>
      </w:r>
      <w:r w:rsidR="002F7DE0" w:rsidRPr="002F7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366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t xml:space="preserve">При сексуальной дисфункции у женщин необходимо учитывать их возраст, тип </w:t>
      </w:r>
      <w:r w:rsidR="007B7C11" w:rsidRPr="00366126">
        <w:rPr>
          <w:color w:val="000000"/>
          <w:sz w:val="28"/>
          <w:szCs w:val="28"/>
        </w:rPr>
        <w:t>менопаузы (</w:t>
      </w:r>
      <w:r w:rsidRPr="00366126">
        <w:rPr>
          <w:color w:val="000000"/>
          <w:sz w:val="28"/>
          <w:szCs w:val="28"/>
        </w:rPr>
        <w:t>своевременная, естественная или хирургическая), длительность постменопаузы, наличие и выраженность вазомоторных симптомов и изменений настроения, общее состояние здоровья, прием лекарственных препаратов с центральным действием по поводу хронических заболеваний, личностные черты и характер партнерских отношений.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t xml:space="preserve">Для сексуальной дисфункции особую роль играют два симптома </w:t>
      </w:r>
      <w:proofErr w:type="spellStart"/>
      <w:r w:rsidRPr="00366126">
        <w:rPr>
          <w:color w:val="000000"/>
          <w:sz w:val="28"/>
          <w:szCs w:val="28"/>
        </w:rPr>
        <w:t>генитоуринарного</w:t>
      </w:r>
      <w:proofErr w:type="spellEnd"/>
      <w:r w:rsidRPr="00366126">
        <w:rPr>
          <w:color w:val="000000"/>
          <w:sz w:val="28"/>
          <w:szCs w:val="28"/>
        </w:rPr>
        <w:t xml:space="preserve"> синдрома – </w:t>
      </w:r>
      <w:proofErr w:type="spellStart"/>
      <w:r w:rsidRPr="00366126">
        <w:rPr>
          <w:color w:val="000000"/>
          <w:sz w:val="28"/>
          <w:szCs w:val="28"/>
        </w:rPr>
        <w:t>диспареуния</w:t>
      </w:r>
      <w:proofErr w:type="spellEnd"/>
      <w:r w:rsidRPr="00366126">
        <w:rPr>
          <w:color w:val="000000"/>
          <w:sz w:val="28"/>
          <w:szCs w:val="28"/>
        </w:rPr>
        <w:t xml:space="preserve"> и сухость влагалища, приводящих к серьезным нарушениям основных составляющих сексуального ответа (желание и возбуждение). Эффективное купирование данных симптомов возможно при проведении МГТ, которая может быть системной, локальной или сочетанной.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t xml:space="preserve">Возможно проведение лечения </w:t>
      </w:r>
      <w:proofErr w:type="spellStart"/>
      <w:r w:rsidRPr="00366126">
        <w:rPr>
          <w:color w:val="000000"/>
          <w:sz w:val="28"/>
          <w:szCs w:val="28"/>
        </w:rPr>
        <w:t>тиболоном</w:t>
      </w:r>
      <w:proofErr w:type="spellEnd"/>
      <w:r w:rsidRPr="00366126">
        <w:rPr>
          <w:color w:val="000000"/>
          <w:sz w:val="28"/>
          <w:szCs w:val="28"/>
        </w:rPr>
        <w:t>, эффективность которого превосходит традиционную МГТ по влиянию на сексуальную дисфункцию у пожилых женщин, особенно в отношении таких показателей как желание и возбуждение, обусловленного уникальным сочетанием эстрогенного и слабого андрогенного эффект</w:t>
      </w:r>
      <w:r w:rsidR="002F7DE0">
        <w:rPr>
          <w:color w:val="000000"/>
          <w:sz w:val="28"/>
          <w:szCs w:val="28"/>
        </w:rPr>
        <w:t xml:space="preserve">ов </w:t>
      </w:r>
      <w:r w:rsidR="002F7DE0" w:rsidRPr="002F7DE0">
        <w:rPr>
          <w:color w:val="000000"/>
          <w:sz w:val="28"/>
          <w:szCs w:val="28"/>
        </w:rPr>
        <w:t>[</w:t>
      </w:r>
      <w:r w:rsidR="00A06E3D" w:rsidRPr="00366126">
        <w:rPr>
          <w:color w:val="000000"/>
          <w:sz w:val="28"/>
          <w:szCs w:val="28"/>
        </w:rPr>
        <w:t>4, 8, 10, 71</w:t>
      </w:r>
      <w:r w:rsidR="002F7DE0" w:rsidRPr="002F7DE0">
        <w:rPr>
          <w:color w:val="000000"/>
          <w:sz w:val="28"/>
          <w:szCs w:val="28"/>
        </w:rPr>
        <w:t>]</w:t>
      </w:r>
      <w:r w:rsidRPr="00366126">
        <w:rPr>
          <w:color w:val="000000"/>
          <w:sz w:val="28"/>
          <w:szCs w:val="28"/>
        </w:rPr>
        <w:t>.</w:t>
      </w:r>
    </w:p>
    <w:p w:rsidR="007C4BEC" w:rsidRPr="00366126" w:rsidRDefault="007C4BEC" w:rsidP="00E837F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66126">
        <w:rPr>
          <w:color w:val="000000"/>
          <w:sz w:val="28"/>
          <w:szCs w:val="28"/>
        </w:rPr>
        <w:lastRenderedPageBreak/>
        <w:t xml:space="preserve">Гормональная и негормональная терапия и/или </w:t>
      </w:r>
      <w:proofErr w:type="spellStart"/>
      <w:r w:rsidRPr="00366126">
        <w:rPr>
          <w:color w:val="000000"/>
          <w:sz w:val="28"/>
          <w:szCs w:val="28"/>
        </w:rPr>
        <w:t>психосексуальные</w:t>
      </w:r>
      <w:proofErr w:type="spellEnd"/>
      <w:r w:rsidRPr="00366126">
        <w:rPr>
          <w:color w:val="000000"/>
          <w:sz w:val="28"/>
          <w:szCs w:val="28"/>
        </w:rPr>
        <w:t xml:space="preserve"> методики должны быть индивидуализированы и адаптированы в зависимости от анамнеза женщины и текущих потребностей, принимая во внимание также и наличие партнера, общее и сексуальное здоровье партнера и качество интимных отношений</w:t>
      </w:r>
      <w:r w:rsidR="002F7DE0">
        <w:rPr>
          <w:color w:val="000000"/>
          <w:sz w:val="28"/>
          <w:szCs w:val="28"/>
        </w:rPr>
        <w:t xml:space="preserve"> </w:t>
      </w:r>
      <w:r w:rsidR="002F7DE0" w:rsidRPr="002F7DE0">
        <w:rPr>
          <w:color w:val="000000"/>
          <w:sz w:val="28"/>
          <w:szCs w:val="28"/>
        </w:rPr>
        <w:t>[</w:t>
      </w:r>
      <w:r w:rsidR="002F7DE0">
        <w:rPr>
          <w:color w:val="000000"/>
          <w:sz w:val="28"/>
          <w:szCs w:val="28"/>
        </w:rPr>
        <w:t>3, 4, 8, 10, 72</w:t>
      </w:r>
      <w:r w:rsidR="002F7DE0" w:rsidRPr="002F7DE0">
        <w:rPr>
          <w:color w:val="000000"/>
          <w:sz w:val="28"/>
          <w:szCs w:val="28"/>
        </w:rPr>
        <w:t>]</w:t>
      </w:r>
      <w:r w:rsidRPr="00366126">
        <w:rPr>
          <w:color w:val="000000"/>
          <w:sz w:val="28"/>
          <w:szCs w:val="28"/>
        </w:rPr>
        <w:t>.</w:t>
      </w:r>
    </w:p>
    <w:p w:rsidR="007C4BEC" w:rsidRPr="00366126" w:rsidRDefault="007C4BEC" w:rsidP="00E837FC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BEC" w:rsidRPr="00366126" w:rsidRDefault="007C4BEC" w:rsidP="001A6D86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BEC" w:rsidRPr="00366126" w:rsidRDefault="007C4BEC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Default="004A09E4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126" w:rsidRPr="00E37BDE" w:rsidRDefault="00366126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F7DE0" w:rsidRPr="00E37BDE" w:rsidRDefault="002F7DE0" w:rsidP="001A6D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09E4" w:rsidRPr="00366126" w:rsidRDefault="00CE4644" w:rsidP="00CE46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hAnsi="Times New Roman"/>
          <w:b/>
          <w:sz w:val="28"/>
          <w:szCs w:val="28"/>
          <w:lang w:eastAsia="en-US"/>
        </w:rPr>
        <w:lastRenderedPageBreak/>
        <w:t>СПИСОК ЛИТЕРАТУРЫ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Ведение женщин в пери- и постменопаузе: практические рекомендации / Под ред. В.П. </w:t>
      </w:r>
      <w:proofErr w:type="spellStart"/>
      <w:r w:rsidRPr="00366126">
        <w:rPr>
          <w:rFonts w:ascii="Times New Roman" w:hAnsi="Times New Roman"/>
          <w:sz w:val="28"/>
          <w:szCs w:val="28"/>
        </w:rPr>
        <w:t>Сметник</w:t>
      </w:r>
      <w:proofErr w:type="spellEnd"/>
      <w:r w:rsidRPr="00366126">
        <w:rPr>
          <w:rFonts w:ascii="Times New Roman" w:hAnsi="Times New Roman"/>
          <w:sz w:val="28"/>
          <w:szCs w:val="28"/>
        </w:rPr>
        <w:t>, Л.М. Ильиной. – М.: Ярославль: ООО «ИПК «Литера», 2010. – 221 с.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Яковец</w:t>
      </w:r>
      <w:proofErr w:type="spellEnd"/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С. М.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Лызикова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Ю. А. </w:t>
      </w:r>
      <w:r w:rsidRPr="00366126">
        <w:rPr>
          <w:rFonts w:ascii="Times New Roman" w:hAnsi="Times New Roman"/>
          <w:sz w:val="28"/>
          <w:szCs w:val="28"/>
          <w:lang w:eastAsia="en-US"/>
        </w:rPr>
        <w:t>Медико-биологические аспекты климактерия // Проблемы здоровья и экологии. 2013. № 1 (35).  С. 51-57.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6126">
        <w:rPr>
          <w:rFonts w:ascii="Times New Roman" w:hAnsi="Times New Roman"/>
          <w:sz w:val="28"/>
          <w:szCs w:val="28"/>
        </w:rPr>
        <w:t xml:space="preserve">Менопаузальная гормонотерапия и сохранение здоровья женщин в зрелом возрасте. - Клинические рекомендации (Протоколы) Министерства здравоохранения Российской Федерации. - Москва 2014. – 42 </w:t>
      </w:r>
      <w:r w:rsidRPr="00366126">
        <w:rPr>
          <w:rFonts w:ascii="Times New Roman" w:hAnsi="Times New Roman"/>
          <w:sz w:val="28"/>
          <w:szCs w:val="28"/>
          <w:lang w:val="en-US"/>
        </w:rPr>
        <w:t>c</w:t>
      </w:r>
      <w:r w:rsidRPr="00366126">
        <w:rPr>
          <w:rFonts w:ascii="Times New Roman" w:hAnsi="Times New Roman"/>
          <w:sz w:val="28"/>
          <w:szCs w:val="28"/>
        </w:rPr>
        <w:t xml:space="preserve">. 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sz w:val="28"/>
          <w:szCs w:val="28"/>
          <w:lang w:val="en-US"/>
        </w:rPr>
        <w:t xml:space="preserve">R. J. Baber, N. Panay, A. Fenton et al. </w:t>
      </w: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IMS Writing Group 2016 IMS Recommendations on women’s midlife health and menopause hormone therapy // Climacteric. 2016. Vol. 19(2). P. 109–150.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Lobo R.A., Davis S.R., de Villiers T.J. et al. Prevention of diseases after menopause // Climacteric. 2014. Vol. 17. P. 540–556.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Harlow S.D.,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Gass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M., Hall J.E. et al., STRAW + 10 Collaborative Group. Executive summary of the Stages of Reproductive Aging Workshop + 10: addressing the unfinished agenda of staging reproductive aging // J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Clin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Endocrinol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Metab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2012. Vol. 97(4). P. 1159–1168.</w:t>
      </w:r>
      <w:r w:rsidRPr="00366126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366126">
        <w:rPr>
          <w:rFonts w:ascii="Times New Roman" w:hAnsi="Times New Roman"/>
          <w:sz w:val="28"/>
          <w:szCs w:val="28"/>
          <w:lang w:val="en-US"/>
        </w:rPr>
        <w:t xml:space="preserve">Practice Bulletin No.141: Management of  Menopausal Symptoms. </w:t>
      </w:r>
      <w:proofErr w:type="spellStart"/>
      <w:r w:rsidRPr="00366126">
        <w:rPr>
          <w:rFonts w:ascii="Times New Roman" w:hAnsi="Times New Roman"/>
          <w:sz w:val="28"/>
          <w:szCs w:val="28"/>
          <w:lang w:val="en-US"/>
        </w:rPr>
        <w:t>ObstetGynecol</w:t>
      </w:r>
      <w:proofErr w:type="spellEnd"/>
      <w:r w:rsidRPr="00366126">
        <w:rPr>
          <w:rFonts w:ascii="Times New Roman" w:hAnsi="Times New Roman"/>
          <w:sz w:val="28"/>
          <w:szCs w:val="28"/>
          <w:lang w:val="en-US"/>
        </w:rPr>
        <w:t>. 2014</w:t>
      </w:r>
      <w:proofErr w:type="gramStart"/>
      <w:r w:rsidRPr="00366126">
        <w:rPr>
          <w:rFonts w:ascii="Times New Roman" w:hAnsi="Times New Roman"/>
          <w:sz w:val="28"/>
          <w:szCs w:val="28"/>
          <w:lang w:val="en-US"/>
        </w:rPr>
        <w:t>;123:202</w:t>
      </w:r>
      <w:proofErr w:type="gramEnd"/>
      <w:r w:rsidRPr="00366126">
        <w:rPr>
          <w:rFonts w:ascii="Times New Roman" w:hAnsi="Times New Roman"/>
          <w:sz w:val="28"/>
          <w:szCs w:val="28"/>
          <w:lang w:val="en-US"/>
        </w:rPr>
        <w:t xml:space="preserve">-216.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Сухих Г.Т.,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Сметник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В.П.. Андреева Е.Н. и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соавт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Менопаузальная гормонотерапия и сохранение здоровья женщин в зрелом возрасте. Проблемы репродукции. 2016. – с. 8-9.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Юренева С.В., Ильина Л.М. Практическое руководство для врачей по ведению женщин в переходном периоде и в постменопаузе (по материалам обновленных российских и международных рекомендаций). Москва. – АО «Байер», 2017.- 99 с.</w:t>
      </w:r>
    </w:p>
    <w:p w:rsidR="004A09E4" w:rsidRPr="00366126" w:rsidRDefault="00333D7A" w:rsidP="00DE1346">
      <w:pPr>
        <w:pStyle w:val="1"/>
        <w:numPr>
          <w:ilvl w:val="0"/>
          <w:numId w:val="34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color w:val="333333"/>
          <w:sz w:val="28"/>
          <w:szCs w:val="28"/>
        </w:rPr>
      </w:pPr>
      <w:hyperlink r:id="rId13" w:history="1">
        <w:proofErr w:type="spellStart"/>
        <w:r w:rsidR="004A09E4" w:rsidRPr="00366126">
          <w:rPr>
            <w:rStyle w:val="aa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Унанян</w:t>
        </w:r>
        <w:proofErr w:type="spellEnd"/>
        <w:r w:rsidR="004A09E4" w:rsidRPr="00366126">
          <w:rPr>
            <w:rStyle w:val="aa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 xml:space="preserve"> А.Л.</w:t>
        </w:r>
      </w:hyperlink>
      <w:r w:rsidR="004A09E4" w:rsidRPr="0036612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 </w:t>
      </w:r>
      <w:proofErr w:type="spellStart"/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fldChar w:fldCharType="begin"/>
      </w:r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instrText xml:space="preserve"> HYPERLINK "https://www.rmj.ru/authors/Kuzenkova_NN/" </w:instrText>
      </w:r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fldChar w:fldCharType="separate"/>
      </w:r>
      <w:r w:rsidR="004A09E4" w:rsidRPr="00366126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>Кузенкова</w:t>
      </w:r>
      <w:proofErr w:type="spellEnd"/>
      <w:r w:rsidR="004A09E4" w:rsidRPr="00366126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 xml:space="preserve"> Н.Н. </w:t>
      </w:r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fldChar w:fldCharType="end"/>
      </w:r>
      <w:r w:rsidR="004A09E4" w:rsidRPr="00366126">
        <w:rPr>
          <w:rFonts w:ascii="Times New Roman" w:hAnsi="Times New Roman" w:cs="Times New Roman"/>
          <w:i w:val="0"/>
          <w:sz w:val="28"/>
          <w:szCs w:val="28"/>
          <w:vertAlign w:val="superscript"/>
        </w:rPr>
        <w:t> </w:t>
      </w:r>
      <w:r w:rsidR="004A09E4" w:rsidRPr="00366126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proofErr w:type="spellStart"/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t>соавт</w:t>
      </w:r>
      <w:proofErr w:type="spellEnd"/>
      <w:r w:rsidR="004A09E4" w:rsidRPr="00366126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4A09E4" w:rsidRPr="00366126">
        <w:rPr>
          <w:rFonts w:ascii="Times New Roman" w:hAnsi="Times New Roman" w:cs="Times New Roman"/>
          <w:bCs/>
          <w:i w:val="0"/>
          <w:color w:val="333333"/>
          <w:sz w:val="28"/>
          <w:szCs w:val="28"/>
        </w:rPr>
        <w:t xml:space="preserve">Менопаузальная терапия: преимущества и риски применения – РМЖ. –   </w:t>
      </w:r>
      <w:hyperlink r:id="rId14" w:history="1">
        <w:r w:rsidR="004A09E4" w:rsidRPr="00366126">
          <w:rPr>
            <w:rStyle w:val="aa"/>
            <w:rFonts w:ascii="Times New Roman" w:hAnsi="Times New Roman" w:cs="Times New Roman"/>
            <w:i w:val="0"/>
            <w:color w:val="354778"/>
            <w:sz w:val="28"/>
            <w:szCs w:val="28"/>
            <w:u w:val="none"/>
            <w:shd w:val="clear" w:color="auto" w:fill="FFFFFF"/>
          </w:rPr>
          <w:t xml:space="preserve">«РМЖ» №15 от 31.08.2017 </w:t>
        </w:r>
      </w:hyperlink>
      <w:r w:rsidR="004A09E4" w:rsidRPr="00366126">
        <w:rPr>
          <w:rStyle w:val="articlepages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стр. 1128-1134</w:t>
      </w:r>
    </w:p>
    <w:p w:rsidR="004A09E4" w:rsidRPr="00366126" w:rsidRDefault="004A09E4" w:rsidP="00DE1346">
      <w:pPr>
        <w:pStyle w:val="1"/>
        <w:numPr>
          <w:ilvl w:val="0"/>
          <w:numId w:val="34"/>
        </w:numPr>
        <w:shd w:val="clear" w:color="auto" w:fill="FFFFFF"/>
        <w:spacing w:before="0" w:line="36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eastAsia="en-US"/>
        </w:rPr>
      </w:pPr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Лопатина О.В., Балан В.Е., Ткачева О.Н., Шарашкина Н.В., Журавель А.С. Факторы женского здоровья с точки зрения старения репродуктивной системы и риска развития сердечно-сосудистых заболеваний / </w:t>
      </w:r>
      <w:proofErr w:type="spellStart"/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>Палеев</w:t>
      </w:r>
      <w:proofErr w:type="spellEnd"/>
      <w:r w:rsidRPr="00366126"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 Ф.Н. // Альманах клинической медицины. — 2015 Март; № 37: С. 111–117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iCs/>
          <w:sz w:val="28"/>
          <w:szCs w:val="28"/>
          <w:lang w:val="en-US" w:eastAsia="en-US"/>
        </w:rPr>
        <w:t xml:space="preserve">Carmina E.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Cardiovascular risk and events in polycystic ovary syndrome // Climacteric.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2009.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366126">
        <w:rPr>
          <w:rFonts w:ascii="Times New Roman" w:hAnsi="Times New Roman"/>
          <w:sz w:val="28"/>
          <w:szCs w:val="28"/>
          <w:lang w:eastAsia="en-US"/>
        </w:rPr>
        <w:t>. 12 (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suppl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.).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366126">
        <w:rPr>
          <w:rFonts w:ascii="Times New Roman" w:hAnsi="Times New Roman"/>
          <w:sz w:val="28"/>
          <w:szCs w:val="28"/>
          <w:lang w:eastAsia="en-US"/>
        </w:rPr>
        <w:t>. 22-25.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F2228"/>
          <w:sz w:val="28"/>
          <w:szCs w:val="28"/>
          <w:lang w:eastAsia="ru-RU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Доброхотова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Ю.Э., Ильина И.Ю.  Синдром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постгистерэктомии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. Диагностика и лечение. - </w:t>
      </w:r>
      <w:r w:rsidRPr="00366126">
        <w:rPr>
          <w:rFonts w:ascii="Times New Roman" w:hAnsi="Times New Roman"/>
          <w:sz w:val="28"/>
          <w:szCs w:val="28"/>
          <w:shd w:val="clear" w:color="auto" w:fill="FFFFFF"/>
        </w:rPr>
        <w:t xml:space="preserve">ГЭОТАР-Медиа. - </w:t>
      </w:r>
      <w:r w:rsidRPr="00366126">
        <w:rPr>
          <w:rFonts w:ascii="Times New Roman" w:hAnsi="Times New Roman"/>
          <w:sz w:val="28"/>
          <w:szCs w:val="28"/>
          <w:lang w:eastAsia="en-US"/>
        </w:rPr>
        <w:t>2017.- 208 с.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Майчук</w:t>
      </w:r>
      <w:proofErr w:type="spellEnd"/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Е. Ю.</w:t>
      </w:r>
      <w:r w:rsidRPr="00366126">
        <w:rPr>
          <w:rFonts w:ascii="Times New Roman" w:hAnsi="Times New Roman"/>
          <w:sz w:val="28"/>
          <w:szCs w:val="28"/>
          <w:lang w:eastAsia="en-US"/>
        </w:rPr>
        <w:t>, Воеводина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И. В.</w:t>
      </w:r>
      <w:r w:rsidRPr="00366126">
        <w:rPr>
          <w:rFonts w:ascii="Times New Roman" w:hAnsi="Times New Roman"/>
          <w:sz w:val="28"/>
          <w:szCs w:val="28"/>
          <w:lang w:eastAsia="en-US"/>
        </w:rPr>
        <w:t>, Митрохина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Т. В.</w:t>
      </w:r>
      <w:r w:rsidRPr="00366126">
        <w:rPr>
          <w:rFonts w:ascii="Times New Roman" w:hAnsi="Times New Roman"/>
          <w:sz w:val="28"/>
          <w:szCs w:val="28"/>
          <w:lang w:eastAsia="en-US"/>
        </w:rPr>
        <w:t>, Моисеенко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С. В.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Скрипникова</w:t>
      </w:r>
      <w:proofErr w:type="spellEnd"/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И. А.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Сапунова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Д. А. </w:t>
      </w:r>
      <w:r w:rsidRPr="00366126">
        <w:rPr>
          <w:rFonts w:ascii="Times New Roman" w:hAnsi="Times New Roman"/>
          <w:sz w:val="28"/>
          <w:szCs w:val="28"/>
          <w:lang w:eastAsia="en-US"/>
        </w:rPr>
        <w:t>Влияния хирургической менопаузы на факторы риска сердечно–сосудистых заболеваний и остеопороза (клинические наблюдения). //</w:t>
      </w:r>
      <w:r w:rsidRPr="00366126">
        <w:rPr>
          <w:rFonts w:ascii="Times New Roman" w:hAnsi="Times New Roman"/>
          <w:color w:val="FFFFFF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Остеопороз и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остеопатии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 2011. №1. С.33-36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Vujovic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S.,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Brincat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M.,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Erel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T. et </w:t>
      </w:r>
      <w:r w:rsidRPr="00366126">
        <w:rPr>
          <w:rFonts w:ascii="Times New Roman" w:hAnsi="Times New Roman"/>
          <w:sz w:val="28"/>
          <w:szCs w:val="28"/>
          <w:lang w:eastAsia="en-US"/>
        </w:rPr>
        <w:t>а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l. EMAS position statement: Managing women with premature ovarian failure //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Maturitas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2010.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V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67.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P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 91-93.  </w:t>
      </w:r>
    </w:p>
    <w:p w:rsidR="00DE1346" w:rsidRPr="00366126" w:rsidRDefault="00DE13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iCs/>
          <w:sz w:val="28"/>
          <w:szCs w:val="28"/>
        </w:rPr>
        <w:t>Чухарева Н.А., Рунихина Н.К., Дудинская</w:t>
      </w:r>
      <w:r w:rsidRPr="00366126">
        <w:rPr>
          <w:rFonts w:ascii="Times New Roman" w:hAnsi="Times New Roman"/>
          <w:i/>
          <w:iCs/>
          <w:sz w:val="28"/>
          <w:szCs w:val="28"/>
        </w:rPr>
        <w:t xml:space="preserve"> Е.Н. </w:t>
      </w:r>
      <w:r w:rsidRPr="00366126">
        <w:rPr>
          <w:rFonts w:ascii="Times New Roman" w:hAnsi="Times New Roman"/>
          <w:bCs/>
          <w:sz w:val="28"/>
          <w:szCs w:val="28"/>
        </w:rPr>
        <w:t xml:space="preserve">Особенности течения беременности у женщин с ожирением. </w:t>
      </w:r>
      <w:r w:rsidRPr="00366126">
        <w:rPr>
          <w:rFonts w:ascii="Times New Roman" w:hAnsi="Times New Roman"/>
          <w:sz w:val="28"/>
          <w:szCs w:val="28"/>
        </w:rPr>
        <w:t>Акушерство и гинекология. 2014. № 2. С. 9-13.</w:t>
      </w:r>
    </w:p>
    <w:p w:rsidR="00DE1346" w:rsidRPr="00366126" w:rsidRDefault="00DE13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hAnsi="Times New Roman"/>
          <w:iCs/>
          <w:sz w:val="28"/>
          <w:szCs w:val="28"/>
        </w:rPr>
        <w:t>Бойцов С.А., Стражеско И.Д., Акашева Д.У., Дудинская Е.Н., Кругликова А.С., Ткачева О.Н.</w:t>
      </w:r>
      <w:r w:rsidRPr="00366126">
        <w:rPr>
          <w:rFonts w:ascii="Times New Roman" w:hAnsi="Times New Roman"/>
          <w:sz w:val="28"/>
          <w:szCs w:val="28"/>
        </w:rPr>
        <w:br/>
      </w:r>
      <w:r w:rsidRPr="00366126">
        <w:rPr>
          <w:rFonts w:ascii="Times New Roman" w:hAnsi="Times New Roman"/>
          <w:bCs/>
          <w:sz w:val="28"/>
          <w:szCs w:val="28"/>
        </w:rPr>
        <w:t xml:space="preserve">Инсулинорезистентность: благо или зло? механизмы развития и связь с возраст-ассоциированными изменениями сосудов. </w:t>
      </w:r>
      <w:r w:rsidRPr="00366126">
        <w:rPr>
          <w:rFonts w:ascii="Times New Roman" w:hAnsi="Times New Roman"/>
          <w:sz w:val="28"/>
          <w:szCs w:val="28"/>
        </w:rPr>
        <w:t xml:space="preserve">Кардиоваскулярная терапия и профилактика. 2013. Т. 12. № 4. С. 91-97. </w:t>
      </w:r>
    </w:p>
    <w:p w:rsidR="004A09E4" w:rsidRPr="00366126" w:rsidRDefault="00333D7A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tooltip="Kruglikova Anna S. (перейти на страницу сотрудника)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Кругликова А.С.</w:t>
        </w:r>
      </w:hyperlink>
      <w:r w:rsidR="004A09E4" w:rsidRPr="003661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16" w:tooltip="Стражеско Ирина Дмитриевна (перейти на страницу сотрудника)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Стражеско И.Д.</w:t>
        </w:r>
      </w:hyperlink>
      <w:r w:rsidR="004A09E4" w:rsidRPr="003661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17" w:tooltip="Ткачева О.Н. (перейти на страницу сотрудника)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Ткачева О.Н.</w:t>
        </w:r>
      </w:hyperlink>
      <w:r w:rsidR="004A09E4" w:rsidRPr="00366126">
        <w:rPr>
          <w:rFonts w:ascii="Times New Roman" w:hAnsi="Times New Roman"/>
          <w:bCs/>
          <w:sz w:val="28"/>
          <w:szCs w:val="28"/>
        </w:rPr>
        <w:t xml:space="preserve"> Взаимосвязь факторов </w:t>
      </w:r>
      <w:proofErr w:type="gramStart"/>
      <w:r w:rsidR="004A09E4" w:rsidRPr="00366126">
        <w:rPr>
          <w:rFonts w:ascii="Times New Roman" w:hAnsi="Times New Roman"/>
          <w:bCs/>
          <w:sz w:val="28"/>
          <w:szCs w:val="28"/>
        </w:rPr>
        <w:t>сердечно-сосудистого</w:t>
      </w:r>
      <w:proofErr w:type="gramEnd"/>
      <w:r w:rsidR="004A09E4" w:rsidRPr="00366126">
        <w:rPr>
          <w:rFonts w:ascii="Times New Roman" w:hAnsi="Times New Roman"/>
          <w:bCs/>
          <w:sz w:val="28"/>
          <w:szCs w:val="28"/>
        </w:rPr>
        <w:t xml:space="preserve"> риска и биологии теломер с признаками сосудистого старения. - </w:t>
      </w:r>
      <w:r w:rsidR="004A09E4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tooltip="Перейти на страницу журнала" w:history="1">
        <w:r w:rsidR="004A09E4" w:rsidRPr="00366126">
          <w:rPr>
            <w:rFonts w:ascii="Times New Roman" w:eastAsia="Times New Roman" w:hAnsi="Times New Roman"/>
            <w:sz w:val="28"/>
            <w:szCs w:val="28"/>
            <w:lang w:eastAsia="ru-RU"/>
          </w:rPr>
          <w:t>Кардиоваскулярная терапия и профилактика</w:t>
        </w:r>
      </w:hyperlink>
      <w:r w:rsidR="004A09E4" w:rsidRPr="003661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– том 13. – 2014. – с. 11-17.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Sternfeld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B., Wang H.,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Quesenberry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C.P. et al. Physical activity and changes in weight and waist circumference in midlife women: findings from the Study of Women's Health Across the Nation // Am J Epidemiol. 2004. Vol. 160(9). P. 912–922.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Pan A., Lucas M., Sun Q. et al. Bidirectional association between depression and type 2 diabetes mellitus in women // Arch Intern Med. 2010. Vol. 170. P. 1884–1891.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Dubnov-Raz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G., Pines A., Berry E.M. Diet and lifestyle in managing postmenopausal obesity // Climacteric. 2007. Vol. 10 (Suppl 2). P. 38–41.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Souto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J.C., Pena G.,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Ziyatdinov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A. et al. A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genomewide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study of body mass index and its genetic correlation with thromboembolic risk. Results from the GAIT project //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Thromb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Haemost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2014. Vol. 112(5). P. 1036–1043.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Sylvia H. Ley,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Yanping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Li, Deirdre K. Tobias, JoAnn E. Manson, Bernard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Rosner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, Frank B. Hu and Kathryn M.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Rexrode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«Duration of Reproductive Life Span, Age at Menarche, and Age at Menopause Are Associated With Risk of Cardiovascular Disease in Women». Dallas: «The </w:t>
      </w:r>
      <w:r w:rsidRPr="00366126">
        <w:rPr>
          <w:rFonts w:ascii="Times New Roman" w:hAnsi="Times New Roman"/>
          <w:iCs/>
          <w:sz w:val="28"/>
          <w:szCs w:val="28"/>
          <w:lang w:val="en-US" w:eastAsia="en-US"/>
        </w:rPr>
        <w:t>Journal of the American Heart Association»; 2017. USA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 xml:space="preserve"> Лопатина О.В., Балан В.Е., Ткачева О.Н., Шарашкина Н.В., Журавель А.С. Факторы женского здоровья с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>точки зрения старения репродуктивной системы и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риска развития сердечно-сосудистых заболеваний /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Палеев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Ф.Н. // Альманах клинической медицины. — 2015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>Март;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366126">
        <w:rPr>
          <w:rFonts w:ascii="Times New Roman" w:hAnsi="Times New Roman"/>
          <w:sz w:val="28"/>
          <w:szCs w:val="28"/>
          <w:lang w:eastAsia="en-US"/>
        </w:rPr>
        <w:t>№ 37: С. 111–117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Дюбкова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Т. П. Влияние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табакокурения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на репродуктивное здоровье женщин // Медицинская панорама.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2006. № 4. </w:t>
      </w:r>
      <w:r w:rsidRPr="00366126">
        <w:rPr>
          <w:rFonts w:ascii="Times New Roman" w:hAnsi="Times New Roman"/>
          <w:sz w:val="28"/>
          <w:szCs w:val="28"/>
          <w:lang w:eastAsia="en-US"/>
        </w:rPr>
        <w:t>С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. 77–81.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Tawfik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 w:rsidRPr="00366126">
        <w:rPr>
          <w:rFonts w:ascii="Times New Roman" w:hAnsi="Times New Roman"/>
          <w:sz w:val="28"/>
          <w:szCs w:val="28"/>
          <w:lang w:val="en-US" w:eastAsia="en-US"/>
        </w:rPr>
        <w:t>Heba</w:t>
      </w:r>
      <w:proofErr w:type="spellEnd"/>
      <w:r w:rsidRPr="00366126">
        <w:rPr>
          <w:rFonts w:ascii="Times New Roman" w:hAnsi="Times New Roman"/>
          <w:sz w:val="28"/>
          <w:szCs w:val="28"/>
          <w:lang w:val="en-US" w:eastAsia="en-US"/>
        </w:rPr>
        <w:t xml:space="preserve"> et al. “Life Course Exposure to Smoke and Early Menopause and Menopausal Transition.” Menopause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New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York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366126">
        <w:rPr>
          <w:rFonts w:ascii="Times New Roman" w:hAnsi="Times New Roman"/>
          <w:sz w:val="28"/>
          <w:szCs w:val="28"/>
          <w:lang w:eastAsia="en-US"/>
        </w:rPr>
        <w:t>.</w:t>
      </w:r>
      <w:r w:rsidRPr="00366126">
        <w:rPr>
          <w:rFonts w:ascii="Times New Roman" w:hAnsi="Times New Roman"/>
          <w:sz w:val="28"/>
          <w:szCs w:val="28"/>
          <w:lang w:val="en-US" w:eastAsia="en-US"/>
        </w:rPr>
        <w:t>Y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.) 22.10 (2015): 1076–1083.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t>Шишкин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А. Н.</w:t>
      </w:r>
      <w:r w:rsidRPr="00366126">
        <w:rPr>
          <w:rFonts w:ascii="Times New Roman" w:hAnsi="Times New Roman"/>
          <w:sz w:val="28"/>
          <w:szCs w:val="28"/>
          <w:lang w:eastAsia="en-US"/>
        </w:rPr>
        <w:t>, Худякова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Н. В.</w:t>
      </w:r>
      <w:r w:rsidRPr="00366126">
        <w:rPr>
          <w:rFonts w:ascii="Times New Roman" w:hAnsi="Times New Roman"/>
          <w:sz w:val="28"/>
          <w:szCs w:val="28"/>
          <w:lang w:eastAsia="en-US"/>
        </w:rPr>
        <w:t>, Смирнов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 В. В.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, Никитина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Е. А.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Метаболический синдром у женщин в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перименопаузе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// Вестник СПбГУ. Сер. 11. 2013.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Вып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. 3. С. 39-56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6126"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Прилепская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7C11" w:rsidRPr="00366126">
        <w:rPr>
          <w:rFonts w:ascii="Times New Roman" w:hAnsi="Times New Roman"/>
          <w:sz w:val="28"/>
          <w:szCs w:val="28"/>
          <w:lang w:eastAsia="en-US"/>
        </w:rPr>
        <w:t xml:space="preserve">В. Н. </w:t>
      </w:r>
      <w:r w:rsidRPr="00366126">
        <w:rPr>
          <w:rFonts w:ascii="Times New Roman" w:hAnsi="Times New Roman"/>
          <w:sz w:val="28"/>
          <w:szCs w:val="28"/>
          <w:lang w:eastAsia="en-US"/>
        </w:rPr>
        <w:t xml:space="preserve">Ожирение и репродуктивное здоровье женщины // Поликлиническая гинекология, 2 изд. Доп., - М.: </w:t>
      </w:r>
      <w:proofErr w:type="spellStart"/>
      <w:r w:rsidRPr="00366126">
        <w:rPr>
          <w:rFonts w:ascii="Times New Roman" w:hAnsi="Times New Roman"/>
          <w:sz w:val="28"/>
          <w:szCs w:val="28"/>
          <w:lang w:eastAsia="en-US"/>
        </w:rPr>
        <w:t>МЕДпресс-информ</w:t>
      </w:r>
      <w:proofErr w:type="spellEnd"/>
      <w:r w:rsidRPr="00366126">
        <w:rPr>
          <w:rFonts w:ascii="Times New Roman" w:hAnsi="Times New Roman"/>
          <w:sz w:val="28"/>
          <w:szCs w:val="28"/>
          <w:lang w:eastAsia="en-US"/>
        </w:rPr>
        <w:t>, 2005. С. 510-518.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Style w:val="articlepages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Доброхотова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Ю.Э.,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Дугиева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М.З. Постменопаузальный остеопороз: </w:t>
      </w:r>
      <w:r w:rsidRPr="002F7DE0">
        <w:rPr>
          <w:rFonts w:ascii="Times New Roman" w:hAnsi="Times New Roman"/>
          <w:sz w:val="28"/>
          <w:szCs w:val="28"/>
          <w:shd w:val="clear" w:color="auto" w:fill="FFFFFF"/>
        </w:rPr>
        <w:t>препараты кальция в современной стратегии профилактики и лечения //</w:t>
      </w:r>
      <w:r w:rsidRPr="002F7DE0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2F7DE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«РМЖ». – 2017. - №15. – </w:t>
        </w:r>
      </w:hyperlink>
      <w:r w:rsidRPr="002F7DE0">
        <w:rPr>
          <w:rFonts w:ascii="Times New Roman" w:hAnsi="Times New Roman"/>
          <w:sz w:val="28"/>
          <w:szCs w:val="28"/>
        </w:rPr>
        <w:t>с.</w:t>
      </w:r>
      <w:r w:rsidRPr="002F7DE0">
        <w:rPr>
          <w:rStyle w:val="articlepages"/>
          <w:rFonts w:ascii="Times New Roman" w:hAnsi="Times New Roman"/>
          <w:sz w:val="28"/>
          <w:szCs w:val="28"/>
          <w:shd w:val="clear" w:color="auto" w:fill="FFFFFF"/>
        </w:rPr>
        <w:t xml:space="preserve"> 1135-1139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Дедов И.И., Мельниченко Г.А., Белая Ж.Е., Рожинская Л.Я. Остеопороз – от редкого симптома эндокринных болезней до безмолвной эпидемии XX–XXI в. // Проблемы эндокринологии. 2011. Т. 57. С. 35–45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Татарчук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Т.Ф., Ефименко О.А. Современные подходы к лечению постменопаузального остеопороза // Новости медицины и фармации. 2013. № 3. С. 444 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Hordon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L.D.,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M., Aaron J.E. Trabecular architecture in women and men of similar bone mass with and without vertebral fractures: two–dimensional histology // Bone. 2000.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27(2). P. 271–276.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Серов В.Н., Михайлова О.И.,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Блинова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Основные принципы профилактики и лечения постменопаузального остеопороза // РМЖ. 2009. 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№ 16.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1009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McClung M. Inhibition of RANKL as a treatment for osteoporosis: Preclinical and early clinical studies // Current Osteoporosis Reports.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2006.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4(1). P. 28–33. doi:10.1007/s11914-006-0012-7.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Бадокин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Европейские рекомендации (ESCEO) 2014 г. по лечению больных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остеоартрозом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// РМЖ. 2014. № 30. С. 2149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Никитинская О.А.,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Торопцова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Беневоленская Л.И. Фармакологическая профилактика первичного остеопороза // РМЖ. 2008. № 6. С. 409 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Белая Ж.Е., Рожинская Л.Я.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Бисфосфонаты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терапии постменопаузального остеопороза // Доктор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2010. 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№ 58(7).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. 29–38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Miller P., Bolognese M.,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Lewiecki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E. et al. Effect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denosumab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 bone density and turnover in postmenopausal women with low bone mass after long-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term continued, discontinued, and restarting of therapy: A randomized blinded phase 2 clinical trial // Bone. 2008.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43(2). P. 222–229. doi:10.1016/j.bone.2008.04.007.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Белая Ж.Е., Рожинская Л.Я. Новые направления в терапии остеопороза – применение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моноклональных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человеческих антител к RANKL (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Деносумаб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) // Остеопороз и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остеопатии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. 2011. № 2. С. 19–14.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Cummings S., Martin J., McClung M. et al.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Denosumab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for Prevention of Fractures in Postmenopausal Women </w:t>
      </w:r>
      <w:proofErr w:type="gram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With</w:t>
      </w:r>
      <w:proofErr w:type="gram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Osteoporosis // N Engl J Med. 2009. Vol. 361(8). P. 756–765.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10.1056/NEJMoa0809493.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Epub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2009 Aug 11.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Qaseem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Forciea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M.A., McLean R.M. et al. Treatment of Low Bone Density or Osteoporosis to Prevent Fractures in Men and Women: A Clinical Practice Guideline Update From the American College of Physicians // Ann Intern Med (Annals.org). May 8, 2017.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Marie P. Signaling Pathways Affecting Skeletal Health // Current Osteoporosis Reports.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2012.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10(3). P. 190–198. doi:10.1007/s11914-012-0109-0.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Дедов И.И., Мельниченко Г.А. Остеопороз. Клинические рекомендации. М., 2016 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Ettinger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Ensrud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K., Wallace R. et al. Effects of Ultralow-Dose Transdermal Estradiol on Bone Mineral Density: A Randomized Clinical Trial // Obstetrics and Gynecology. 2004. Vol. 104(3). P. 443–451. doi:10.1097/01.aog.0000137833.43248.79.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Villiers T.J., Hall J.E., Pinkerton J.V. et al. Revised global Consensus Statement on Menopausal Hormone Therapy // J. Climacteric. 2016. Vol. 19(4). P. 313–315.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Cauley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J.A., Norton L.,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Lippman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M.E. et al. Continued breast cancer risk reduction in postmenopausal women treated with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raloxifene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4-year results from the MORE trial. Multiple outcomes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raloxifene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evaluation // Breast Cancer Res Treat. 2001. Vol. 65(2). P. 125–134.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Martino S.,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Cauley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J.A., Barrett-Connor E. et al. CORE Investigators. Continuing outcomes relevant to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Evista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breast cancer incidence in postmenopausal osteoporotic women in a randomized trial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raloxifene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// J Natl Cancer Inst. 2004. Vol. 96(23). P. 1751–1761.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Palacios S., Silverman S., de Villiers T. et al. A 7-year randomized, placebo-controlled trial assessing the long-term efficacy and safety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postmenopausal women with osteoporosis // Menopause. 2015. Vol. 22(8). P. 806–813. doi:10.1097/gme.0000000000000419.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Christiansen C.,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Chesnut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III C., Adachi J. et al. Safety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a randomized, double-blind, placebo- and active-controlled phase 3 study of postmenopausal women with osteoporosis // BMC Musculoskeletal Disorders. 2010. Vol. 11(1). P. 130. doi:10.1186/1471-2474-11-130.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 Villiers T., Chines A., Palacios S. et al. Safety and tolerability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postmenopausal women with osteoporosis: results of a 5-year, randomized, placebo-controlled phase 3 trial // Osteoporosis International. 2010. Vol. 22(2). P. 567–576. doi:10.1007/s00198-010-1302-6.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Miller P., Chines A., Christiansen C. et al. Effects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Bazedoxifene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 BMD and Bone Turnover in Postmenopausal Women: 2-Yr Results of a Randomized, Double-Blind, Placebo-, and Active-Controlled Study // J Bone Miner Res. 2007. Vol. 23(4). P. 525–535. </w:t>
      </w:r>
      <w:r w:rsidR="00B86846"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oi:10.1359/jbmr.071206.</w:t>
      </w:r>
    </w:p>
    <w:p w:rsidR="004A09E4" w:rsidRPr="00366126" w:rsidRDefault="00B868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4A09E4"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Institute of Medicine, Food and Nutrition Board. Dietary Reference Intakes for Calcium and Vitamin D // Washington, DC: National Academy Press, 2010.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Tang B.M.,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Eslick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C.D.,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Nowson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C. et al. Use of calcium or calcium in combination with vitamin D supplementation to prevent fractures and bone loss in people aged 50 years and older; a meta-analysis // Lancet. 2007. Vol. 370. P. 657–666.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Boonen S., Bischoff-Ferrari H., Cooper C. et al. Addressing the Musculoskeletal Components of Fracture Risk with Calcium and Vitamin D: A Review of the Evidence // Calcified Tissue International. 2006. Vol. 78(5). P. 257–270. doi:10.1007/s00223-005-0009-8.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Body J., Bergmann P., Boonen S. et al. Evidence-based guidelines for the pharmacological treatment of postmenopausal osteoporosis: a consensus document by the Belgian Bone Club // Osteoporosis International. 2010.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21(10). P. 1657–1680. doi:10.1007/s00198-010-1223-4.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Пигарова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Е.А., Рожинская Л.Я., Белая Ж.Е.,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Дзеранова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Л.К.,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Каронова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Т.Л., Ильин А.В., Мельниченко Г.А., Дедов И.И. Клинические рекомендации Российской ассоциации эндокринологов по диагностике, лечению и профилактике дефицита витамина Д у взрослых // Проблемы эндокринологии. 2016. Т. 62. № 4. С. 60–84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Bischoff-Ferrari H.A., Dawson-Hughes B., Willett W.C. et al. Effect of Vitamin D on falls: a meta-analysis // JAMA. 2004. Vol. 291. P. 1999–2006.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Holick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M.F., Binkley N.C., Bischoff-Ferrari H.A. et al. Evaluation, treatment, and prevention of vitamin D deficiency: an Endocrine Society clinical practice guideline // J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Clin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Endocrinol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Metab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2011. Vol. 96(7). P. 1911-30.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doi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: 10.1210/jc.2011-0385.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Mithal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Wahl D., Bonjour J. et al. Global vitamin D status and determinants of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hypovitaminosis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 // Osteoporosis International. 2009. Vol. 20(11). P. 1821–1821. doi:10.1007/s00198-009-1030-y.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Broe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K., Chen T., Weinberg J. et al. A Higher Dose of Vitamin D Reduces the Risk of Falls in Nursing Home Residents: A Randomized, Multiple-Dose Study // Journal of the American Geriatrics Society. </w:t>
      </w: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2007.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. 55(2). P. 234–239. doi:10.1111/j.1532-5415.2007.01048.x.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Dawson-Hughes B.,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Mithal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Bonjour J. et al. IOF position statement: vitamin D recommendations for older adults // Osteoporosis International. 2010. Vol. 21(7). P. 1151–1154. doi:10.1007/s00198-010-1285-3.</w:t>
      </w:r>
    </w:p>
    <w:p w:rsidR="007B7C11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Heller H.J. et al. Pharmacokinetic and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pharmacodynamic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comparison of two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>calciumsupplements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postmenopausal women // Journal of Clinical Pharmacology. </w:t>
      </w:r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2000. </w:t>
      </w:r>
      <w:proofErr w:type="spellStart"/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Vol</w:t>
      </w:r>
      <w:proofErr w:type="spellEnd"/>
      <w:r w:rsidR="007B7C11" w:rsidRPr="00366126">
        <w:rPr>
          <w:rFonts w:ascii="Times New Roman" w:eastAsia="Times New Roman" w:hAnsi="Times New Roman"/>
          <w:sz w:val="28"/>
          <w:szCs w:val="28"/>
          <w:lang w:eastAsia="ru-RU"/>
        </w:rPr>
        <w:t>. 40. P. 1237–1244.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Никитинская О.А.,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Торопцова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Беневоленская О.А. Фармакологическая профилактика первичного остеопороза // РМЖ. 2008. Т. 16. № 6. С. 409–413 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Наумов А.В., </w:t>
      </w:r>
      <w:proofErr w:type="spellStart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Шамуилова</w:t>
      </w:r>
      <w:proofErr w:type="spellEnd"/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 xml:space="preserve"> М.М., Заиченко Д.М. Остеопороз: апокалипсис сегодня, или трудовые будни врача // Вестник семейной медицины. 2012. № 3. С. 44–53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sz w:val="28"/>
          <w:szCs w:val="28"/>
          <w:lang w:eastAsia="ru-RU"/>
        </w:rPr>
        <w:t>Мазуров В.И., Сергеева А.А., Трофимов Е.А. Роль препаратов кальция в комплексном лечении постменопаузального остеопороза // Медицинский совет. 2016. № 05. С. 50–55.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Cummings S.R.,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Ettinger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Delmas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P.D. The effects of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tibolone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in older postmenopausal women // N Engl J Med. 2008. Vol. 359(7). P. 697–708.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Гурко Г.И., Щербакова С. А. Сексуальная функция у пожилых людей и качество их жизни // Геронтология. – 2013. – № 3; с. 49-54.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Robinson D,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Toozs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-Hobson P. Cardozo L. The effect of hormones on the lower urinary tract. Menopause Int 2013; 19: 156-62</w:t>
      </w:r>
    </w:p>
    <w:p w:rsidR="004A09E4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Grady D, Brown JS,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Vittinghoff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E, Applegate W/ et al. Postmenopausal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hormons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and incontinence: the Heart and Estrogen/progestin Replacement Study.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Obstet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Gynecol</w:t>
      </w:r>
      <w:proofErr w:type="spellEnd"/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2001;97;116-20. </w:t>
      </w:r>
    </w:p>
    <w:p w:rsidR="00DE1346" w:rsidRPr="00366126" w:rsidRDefault="004A09E4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Moore K.,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Dumoulin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C., Bradley C. et al. Adult conservative management. In Abrams P, Cardozo L, </w:t>
      </w:r>
      <w:proofErr w:type="spellStart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Khoury</w:t>
      </w:r>
      <w:proofErr w:type="spellEnd"/>
      <w:r w:rsidRPr="0036612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S, Wein A, eds. Incontinence // Paris: Health Publications Ltd. 2013. P. 1101–1228.</w:t>
      </w:r>
    </w:p>
    <w:p w:rsidR="004A09E4" w:rsidRPr="00366126" w:rsidRDefault="00B86846" w:rsidP="00DE1346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Nijand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EA,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Weijmar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Schultz,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Nathorst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-Boos J et al.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Tibolone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and transdermal E2/NETA for treatment of female sexual dysfunction in naturally menopausal woman: results of a randomized active-controlled trial. J Sex Med 2008; 5:646-56</w:t>
      </w:r>
    </w:p>
    <w:p w:rsidR="004A09E4" w:rsidRPr="00366126" w:rsidRDefault="00B86846" w:rsidP="00DE1346">
      <w:pPr>
        <w:pStyle w:val="a5"/>
        <w:numPr>
          <w:ilvl w:val="0"/>
          <w:numId w:val="34"/>
        </w:numPr>
        <w:shd w:val="clear" w:color="auto" w:fill="FFFFFF"/>
        <w:spacing w:before="100" w:beforeAutospacing="1" w:after="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Nappi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RE, Davis SR, The use of hormone therapy for the maintenance of </w:t>
      </w:r>
      <w:proofErr w:type="spellStart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urogynecological</w:t>
      </w:r>
      <w:proofErr w:type="spellEnd"/>
      <w:r w:rsidR="004A09E4" w:rsidRPr="00366126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and sexual health post WHI. Climacteric 2012; 15:267-74.  </w:t>
      </w:r>
    </w:p>
    <w:p w:rsidR="004A09E4" w:rsidRPr="00B35E2B" w:rsidRDefault="004A09E4" w:rsidP="007B7C11">
      <w:pPr>
        <w:spacing w:after="0" w:line="360" w:lineRule="auto"/>
        <w:ind w:left="426" w:firstLine="851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4A09E4" w:rsidRPr="00B35E2B" w:rsidRDefault="004A09E4" w:rsidP="002F7D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sectPr w:rsidR="004A09E4" w:rsidRPr="00B35E2B" w:rsidSect="00C0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68" w:rsidRDefault="005F0568" w:rsidP="00C047E3">
      <w:pPr>
        <w:spacing w:after="0" w:line="240" w:lineRule="auto"/>
      </w:pPr>
      <w:r>
        <w:separator/>
      </w:r>
    </w:p>
  </w:endnote>
  <w:endnote w:type="continuationSeparator" w:id="0">
    <w:p w:rsidR="005F0568" w:rsidRDefault="005F0568" w:rsidP="00C0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974968"/>
      <w:docPartObj>
        <w:docPartGallery w:val="Page Numbers (Bottom of Page)"/>
        <w:docPartUnique/>
      </w:docPartObj>
    </w:sdtPr>
    <w:sdtContent>
      <w:p w:rsidR="00333D7A" w:rsidRDefault="00333D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17A">
          <w:rPr>
            <w:noProof/>
          </w:rPr>
          <w:t>2</w:t>
        </w:r>
        <w:r>
          <w:fldChar w:fldCharType="end"/>
        </w:r>
      </w:p>
    </w:sdtContent>
  </w:sdt>
  <w:p w:rsidR="00333D7A" w:rsidRPr="002F7DE0" w:rsidRDefault="00333D7A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7A" w:rsidRDefault="00333D7A">
    <w:pPr>
      <w:pStyle w:val="ab"/>
      <w:jc w:val="center"/>
    </w:pPr>
  </w:p>
  <w:p w:rsidR="00333D7A" w:rsidRDefault="00333D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68" w:rsidRDefault="005F0568" w:rsidP="00C047E3">
      <w:pPr>
        <w:spacing w:after="0" w:line="240" w:lineRule="auto"/>
      </w:pPr>
      <w:r>
        <w:separator/>
      </w:r>
    </w:p>
  </w:footnote>
  <w:footnote w:type="continuationSeparator" w:id="0">
    <w:p w:rsidR="005F0568" w:rsidRDefault="005F0568" w:rsidP="00C0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7A" w:rsidRDefault="00333D7A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765"/>
    <w:multiLevelType w:val="hybridMultilevel"/>
    <w:tmpl w:val="CF82524E"/>
    <w:lvl w:ilvl="0" w:tplc="C2DC002C">
      <w:start w:val="1"/>
      <w:numFmt w:val="bullet"/>
      <w:lvlText w:val="•"/>
      <w:lvlJc w:val="left"/>
      <w:pPr>
        <w:ind w:left="362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0EB7342D"/>
    <w:multiLevelType w:val="hybridMultilevel"/>
    <w:tmpl w:val="E618D7E2"/>
    <w:lvl w:ilvl="0" w:tplc="ADC29F3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EC0C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438A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6813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AE0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C071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EEAB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C63C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C850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610CC4"/>
    <w:multiLevelType w:val="hybridMultilevel"/>
    <w:tmpl w:val="F44E0958"/>
    <w:lvl w:ilvl="0" w:tplc="50A8BAE2">
      <w:start w:val="5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26A4D"/>
    <w:multiLevelType w:val="hybridMultilevel"/>
    <w:tmpl w:val="91F6EF6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9410B4A"/>
    <w:multiLevelType w:val="hybridMultilevel"/>
    <w:tmpl w:val="89A026B4"/>
    <w:lvl w:ilvl="0" w:tplc="434652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EF8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6FE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8AF3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450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E0E6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729F6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6F8A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653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F83A9C"/>
    <w:multiLevelType w:val="hybridMultilevel"/>
    <w:tmpl w:val="2E3C0680"/>
    <w:lvl w:ilvl="0" w:tplc="D61EBDCE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900560"/>
    <w:multiLevelType w:val="hybridMultilevel"/>
    <w:tmpl w:val="BDBA132E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79078D"/>
    <w:multiLevelType w:val="hybridMultilevel"/>
    <w:tmpl w:val="A8D2FFC8"/>
    <w:lvl w:ilvl="0" w:tplc="DC1E05F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31264"/>
    <w:multiLevelType w:val="hybridMultilevel"/>
    <w:tmpl w:val="6DDE6AF2"/>
    <w:lvl w:ilvl="0" w:tplc="21287A0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E16F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A0B9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0C3C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E79E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00FA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4B5F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CA8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6BE9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FA5BD9"/>
    <w:multiLevelType w:val="hybridMultilevel"/>
    <w:tmpl w:val="CC9289D6"/>
    <w:lvl w:ilvl="0" w:tplc="C2DC002C">
      <w:start w:val="1"/>
      <w:numFmt w:val="bullet"/>
      <w:lvlText w:val="•"/>
      <w:lvlJc w:val="left"/>
      <w:pPr>
        <w:ind w:left="9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F143F63"/>
    <w:multiLevelType w:val="hybridMultilevel"/>
    <w:tmpl w:val="12C6A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F66247"/>
    <w:multiLevelType w:val="hybridMultilevel"/>
    <w:tmpl w:val="F91C4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1039C8"/>
    <w:multiLevelType w:val="hybridMultilevel"/>
    <w:tmpl w:val="F7E6B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15DD3"/>
    <w:multiLevelType w:val="hybridMultilevel"/>
    <w:tmpl w:val="C606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44A6C"/>
    <w:multiLevelType w:val="hybridMultilevel"/>
    <w:tmpl w:val="8D7A2034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A86282D"/>
    <w:multiLevelType w:val="hybridMultilevel"/>
    <w:tmpl w:val="E2E06D42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DFE4B4A"/>
    <w:multiLevelType w:val="hybridMultilevel"/>
    <w:tmpl w:val="1AE2C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C934C6"/>
    <w:multiLevelType w:val="multilevel"/>
    <w:tmpl w:val="AA6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7681C"/>
    <w:multiLevelType w:val="hybridMultilevel"/>
    <w:tmpl w:val="98022B36"/>
    <w:lvl w:ilvl="0" w:tplc="C8E81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682F2D"/>
    <w:multiLevelType w:val="hybridMultilevel"/>
    <w:tmpl w:val="06B8132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2E90178"/>
    <w:multiLevelType w:val="hybridMultilevel"/>
    <w:tmpl w:val="06C03EC6"/>
    <w:lvl w:ilvl="0" w:tplc="C2DC00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603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EE86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06B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065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82B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34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E9D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CED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8563B8"/>
    <w:multiLevelType w:val="hybridMultilevel"/>
    <w:tmpl w:val="6DCE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C555A"/>
    <w:multiLevelType w:val="hybridMultilevel"/>
    <w:tmpl w:val="59BC1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07612A"/>
    <w:multiLevelType w:val="hybridMultilevel"/>
    <w:tmpl w:val="24E2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041ED"/>
    <w:multiLevelType w:val="hybridMultilevel"/>
    <w:tmpl w:val="C5D643BC"/>
    <w:lvl w:ilvl="0" w:tplc="7D6C0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E7FA5"/>
    <w:multiLevelType w:val="hybridMultilevel"/>
    <w:tmpl w:val="93189E28"/>
    <w:lvl w:ilvl="0" w:tplc="E488BAC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90EFF"/>
    <w:multiLevelType w:val="hybridMultilevel"/>
    <w:tmpl w:val="0E7AC004"/>
    <w:lvl w:ilvl="0" w:tplc="C2DC002C">
      <w:start w:val="1"/>
      <w:numFmt w:val="bullet"/>
      <w:lvlText w:val="•"/>
      <w:lvlJc w:val="left"/>
      <w:pPr>
        <w:ind w:left="15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95271C"/>
    <w:multiLevelType w:val="hybridMultilevel"/>
    <w:tmpl w:val="860C1E6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6A1B5DCC"/>
    <w:multiLevelType w:val="hybridMultilevel"/>
    <w:tmpl w:val="3210EAC4"/>
    <w:lvl w:ilvl="0" w:tplc="E9AAAA68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8AF82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C756A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C7EC2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66AA4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C999C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8655C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302842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CECAE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083813"/>
    <w:multiLevelType w:val="hybridMultilevel"/>
    <w:tmpl w:val="FE52390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>
    <w:nsid w:val="73B8265B"/>
    <w:multiLevelType w:val="hybridMultilevel"/>
    <w:tmpl w:val="1A768AA0"/>
    <w:lvl w:ilvl="0" w:tplc="7D6C0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833D6E"/>
    <w:multiLevelType w:val="hybridMultilevel"/>
    <w:tmpl w:val="17849DEE"/>
    <w:lvl w:ilvl="0" w:tplc="50A8BAE2">
      <w:start w:val="5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C396E56"/>
    <w:multiLevelType w:val="hybridMultilevel"/>
    <w:tmpl w:val="1FA69F82"/>
    <w:lvl w:ilvl="0" w:tplc="B1D26E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5A7E00"/>
    <w:multiLevelType w:val="hybridMultilevel"/>
    <w:tmpl w:val="A83CA922"/>
    <w:lvl w:ilvl="0" w:tplc="50A8BAE2">
      <w:start w:val="5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"/>
  </w:num>
  <w:num w:numId="5">
    <w:abstractNumId w:val="28"/>
  </w:num>
  <w:num w:numId="6">
    <w:abstractNumId w:val="8"/>
  </w:num>
  <w:num w:numId="7">
    <w:abstractNumId w:val="4"/>
  </w:num>
  <w:num w:numId="8">
    <w:abstractNumId w:val="29"/>
  </w:num>
  <w:num w:numId="9">
    <w:abstractNumId w:val="3"/>
  </w:num>
  <w:num w:numId="10">
    <w:abstractNumId w:val="27"/>
  </w:num>
  <w:num w:numId="11">
    <w:abstractNumId w:val="19"/>
  </w:num>
  <w:num w:numId="12">
    <w:abstractNumId w:val="17"/>
  </w:num>
  <w:num w:numId="13">
    <w:abstractNumId w:val="21"/>
  </w:num>
  <w:num w:numId="14">
    <w:abstractNumId w:val="13"/>
  </w:num>
  <w:num w:numId="15">
    <w:abstractNumId w:val="23"/>
  </w:num>
  <w:num w:numId="16">
    <w:abstractNumId w:val="22"/>
  </w:num>
  <w:num w:numId="17">
    <w:abstractNumId w:val="25"/>
  </w:num>
  <w:num w:numId="18">
    <w:abstractNumId w:val="31"/>
  </w:num>
  <w:num w:numId="19">
    <w:abstractNumId w:val="33"/>
  </w:num>
  <w:num w:numId="20">
    <w:abstractNumId w:val="2"/>
  </w:num>
  <w:num w:numId="21">
    <w:abstractNumId w:val="16"/>
  </w:num>
  <w:num w:numId="22">
    <w:abstractNumId w:val="10"/>
  </w:num>
  <w:num w:numId="23">
    <w:abstractNumId w:val="12"/>
  </w:num>
  <w:num w:numId="24">
    <w:abstractNumId w:val="32"/>
  </w:num>
  <w:num w:numId="25">
    <w:abstractNumId w:val="18"/>
  </w:num>
  <w:num w:numId="26">
    <w:abstractNumId w:val="11"/>
  </w:num>
  <w:num w:numId="27">
    <w:abstractNumId w:val="0"/>
  </w:num>
  <w:num w:numId="28">
    <w:abstractNumId w:val="30"/>
  </w:num>
  <w:num w:numId="29">
    <w:abstractNumId w:val="6"/>
  </w:num>
  <w:num w:numId="30">
    <w:abstractNumId w:val="26"/>
  </w:num>
  <w:num w:numId="31">
    <w:abstractNumId w:val="14"/>
  </w:num>
  <w:num w:numId="32">
    <w:abstractNumId w:val="9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F"/>
    <w:rsid w:val="000203D0"/>
    <w:rsid w:val="000A417A"/>
    <w:rsid w:val="000B46C8"/>
    <w:rsid w:val="000F3231"/>
    <w:rsid w:val="00122D23"/>
    <w:rsid w:val="00197166"/>
    <w:rsid w:val="001A6D86"/>
    <w:rsid w:val="001A717A"/>
    <w:rsid w:val="001A7C50"/>
    <w:rsid w:val="001C0176"/>
    <w:rsid w:val="00217BF4"/>
    <w:rsid w:val="002B66E9"/>
    <w:rsid w:val="002F663C"/>
    <w:rsid w:val="002F7DE0"/>
    <w:rsid w:val="0031344E"/>
    <w:rsid w:val="00333D7A"/>
    <w:rsid w:val="00363D6C"/>
    <w:rsid w:val="00366126"/>
    <w:rsid w:val="003B5349"/>
    <w:rsid w:val="003E7891"/>
    <w:rsid w:val="00433290"/>
    <w:rsid w:val="00466C1F"/>
    <w:rsid w:val="00485877"/>
    <w:rsid w:val="004A09E4"/>
    <w:rsid w:val="004E4F82"/>
    <w:rsid w:val="004F41F0"/>
    <w:rsid w:val="00544F0B"/>
    <w:rsid w:val="00554621"/>
    <w:rsid w:val="00596FA6"/>
    <w:rsid w:val="005C7208"/>
    <w:rsid w:val="005F0568"/>
    <w:rsid w:val="006E6777"/>
    <w:rsid w:val="00706088"/>
    <w:rsid w:val="00720A80"/>
    <w:rsid w:val="0075693B"/>
    <w:rsid w:val="00773FBC"/>
    <w:rsid w:val="00792F6B"/>
    <w:rsid w:val="007B7C11"/>
    <w:rsid w:val="007C1B8B"/>
    <w:rsid w:val="007C4BEC"/>
    <w:rsid w:val="007D3F97"/>
    <w:rsid w:val="00817057"/>
    <w:rsid w:val="00833687"/>
    <w:rsid w:val="008D6824"/>
    <w:rsid w:val="008E6148"/>
    <w:rsid w:val="00912E48"/>
    <w:rsid w:val="0092202C"/>
    <w:rsid w:val="009724D7"/>
    <w:rsid w:val="009F7D62"/>
    <w:rsid w:val="00A06E3D"/>
    <w:rsid w:val="00A11640"/>
    <w:rsid w:val="00A610D4"/>
    <w:rsid w:val="00AA146B"/>
    <w:rsid w:val="00B004F7"/>
    <w:rsid w:val="00B065A1"/>
    <w:rsid w:val="00B35E2B"/>
    <w:rsid w:val="00B42C2D"/>
    <w:rsid w:val="00B86846"/>
    <w:rsid w:val="00BD2B2D"/>
    <w:rsid w:val="00C047E3"/>
    <w:rsid w:val="00C271E6"/>
    <w:rsid w:val="00CE4644"/>
    <w:rsid w:val="00D675AE"/>
    <w:rsid w:val="00DE1346"/>
    <w:rsid w:val="00DF41E3"/>
    <w:rsid w:val="00E03662"/>
    <w:rsid w:val="00E04338"/>
    <w:rsid w:val="00E16F11"/>
    <w:rsid w:val="00E257D1"/>
    <w:rsid w:val="00E32AC5"/>
    <w:rsid w:val="00E37BDE"/>
    <w:rsid w:val="00E42A25"/>
    <w:rsid w:val="00E837FC"/>
    <w:rsid w:val="00EA363A"/>
    <w:rsid w:val="00EB1AB2"/>
    <w:rsid w:val="00EF5CBD"/>
    <w:rsid w:val="00F1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6"/>
    <w:pPr>
      <w:spacing w:after="200" w:line="276" w:lineRule="auto"/>
    </w:pPr>
    <w:rPr>
      <w:sz w:val="22"/>
      <w:szCs w:val="22"/>
      <w:lang w:eastAsia="ve-ZA"/>
    </w:rPr>
  </w:style>
  <w:style w:type="paragraph" w:styleId="1">
    <w:name w:val="heading 1"/>
    <w:basedOn w:val="a"/>
    <w:next w:val="a"/>
    <w:link w:val="10"/>
    <w:qFormat/>
    <w:rsid w:val="00C271E6"/>
    <w:pPr>
      <w:keepNext/>
      <w:autoSpaceDE w:val="0"/>
      <w:autoSpaceDN w:val="0"/>
      <w:spacing w:before="200" w:after="0" w:line="220" w:lineRule="atLeast"/>
      <w:jc w:val="right"/>
      <w:outlineLvl w:val="0"/>
    </w:pPr>
    <w:rPr>
      <w:rFonts w:ascii="Arial" w:eastAsia="Times New Roman" w:hAnsi="Arial" w:cs="Arial"/>
      <w:i/>
      <w:i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1E6"/>
    <w:pPr>
      <w:keepNext/>
      <w:autoSpaceDE w:val="0"/>
      <w:autoSpaceDN w:val="0"/>
      <w:spacing w:before="200" w:after="0" w:line="220" w:lineRule="atLeast"/>
      <w:jc w:val="center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1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71E6"/>
    <w:rPr>
      <w:rFonts w:ascii="Arial" w:eastAsia="Times New Roman" w:hAnsi="Arial" w:cs="Arial"/>
      <w:i/>
      <w:iCs/>
      <w:lang w:eastAsia="ve-ZA"/>
    </w:rPr>
  </w:style>
  <w:style w:type="character" w:customStyle="1" w:styleId="20">
    <w:name w:val="Заголовок 2 Знак"/>
    <w:link w:val="2"/>
    <w:semiHidden/>
    <w:rsid w:val="00C271E6"/>
    <w:rPr>
      <w:rFonts w:ascii="Times New Roman" w:eastAsia="Times New Roman" w:hAnsi="Times New Roman"/>
      <w:sz w:val="24"/>
      <w:szCs w:val="24"/>
      <w:lang w:eastAsia="ve-ZA"/>
    </w:rPr>
  </w:style>
  <w:style w:type="character" w:customStyle="1" w:styleId="30">
    <w:name w:val="Заголовок 3 Знак"/>
    <w:link w:val="3"/>
    <w:uiPriority w:val="9"/>
    <w:semiHidden/>
    <w:rsid w:val="00C271E6"/>
    <w:rPr>
      <w:rFonts w:ascii="Cambria" w:eastAsia="Times New Roman" w:hAnsi="Cambria"/>
      <w:b/>
      <w:bCs/>
      <w:color w:val="4F81BD"/>
    </w:rPr>
  </w:style>
  <w:style w:type="character" w:styleId="a3">
    <w:name w:val="Strong"/>
    <w:uiPriority w:val="22"/>
    <w:qFormat/>
    <w:rsid w:val="00C271E6"/>
    <w:rPr>
      <w:b/>
      <w:bCs/>
    </w:rPr>
  </w:style>
  <w:style w:type="paragraph" w:styleId="a4">
    <w:name w:val="No Spacing"/>
    <w:uiPriority w:val="1"/>
    <w:qFormat/>
    <w:rsid w:val="00C271E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71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1F"/>
    <w:rPr>
      <w:sz w:val="22"/>
      <w:szCs w:val="22"/>
      <w:lang w:eastAsia="ve-ZA"/>
    </w:rPr>
  </w:style>
  <w:style w:type="paragraph" w:styleId="a8">
    <w:name w:val="Normal (Web)"/>
    <w:basedOn w:val="a"/>
    <w:uiPriority w:val="99"/>
    <w:unhideWhenUsed/>
    <w:rsid w:val="007C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AA14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A09E4"/>
    <w:rPr>
      <w:color w:val="0000FF"/>
      <w:u w:val="single"/>
    </w:rPr>
  </w:style>
  <w:style w:type="character" w:customStyle="1" w:styleId="articlepages">
    <w:name w:val="article_pages"/>
    <w:basedOn w:val="a0"/>
    <w:rsid w:val="004A09E4"/>
  </w:style>
  <w:style w:type="paragraph" w:customStyle="1" w:styleId="11">
    <w:name w:val="Абзац списка1"/>
    <w:basedOn w:val="a"/>
    <w:rsid w:val="00B35E2B"/>
    <w:pPr>
      <w:suppressAutoHyphens/>
      <w:spacing w:after="160" w:line="252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DE0"/>
    <w:rPr>
      <w:sz w:val="22"/>
      <w:szCs w:val="22"/>
      <w:lang w:eastAsia="ve-ZA"/>
    </w:rPr>
  </w:style>
  <w:style w:type="paragraph" w:styleId="ad">
    <w:name w:val="Balloon Text"/>
    <w:basedOn w:val="a"/>
    <w:link w:val="ae"/>
    <w:uiPriority w:val="99"/>
    <w:semiHidden/>
    <w:unhideWhenUsed/>
    <w:rsid w:val="004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1F0"/>
    <w:rPr>
      <w:rFonts w:ascii="Tahoma" w:hAnsi="Tahoma" w:cs="Tahoma"/>
      <w:sz w:val="16"/>
      <w:szCs w:val="16"/>
      <w:lang w:eastAsia="ve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6"/>
    <w:pPr>
      <w:spacing w:after="200" w:line="276" w:lineRule="auto"/>
    </w:pPr>
    <w:rPr>
      <w:sz w:val="22"/>
      <w:szCs w:val="22"/>
      <w:lang w:eastAsia="ve-ZA"/>
    </w:rPr>
  </w:style>
  <w:style w:type="paragraph" w:styleId="1">
    <w:name w:val="heading 1"/>
    <w:basedOn w:val="a"/>
    <w:next w:val="a"/>
    <w:link w:val="10"/>
    <w:qFormat/>
    <w:rsid w:val="00C271E6"/>
    <w:pPr>
      <w:keepNext/>
      <w:autoSpaceDE w:val="0"/>
      <w:autoSpaceDN w:val="0"/>
      <w:spacing w:before="200" w:after="0" w:line="220" w:lineRule="atLeast"/>
      <w:jc w:val="right"/>
      <w:outlineLvl w:val="0"/>
    </w:pPr>
    <w:rPr>
      <w:rFonts w:ascii="Arial" w:eastAsia="Times New Roman" w:hAnsi="Arial" w:cs="Arial"/>
      <w:i/>
      <w:i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1E6"/>
    <w:pPr>
      <w:keepNext/>
      <w:autoSpaceDE w:val="0"/>
      <w:autoSpaceDN w:val="0"/>
      <w:spacing w:before="200" w:after="0" w:line="220" w:lineRule="atLeast"/>
      <w:jc w:val="center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1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71E6"/>
    <w:rPr>
      <w:rFonts w:ascii="Arial" w:eastAsia="Times New Roman" w:hAnsi="Arial" w:cs="Arial"/>
      <w:i/>
      <w:iCs/>
      <w:lang w:eastAsia="ve-ZA"/>
    </w:rPr>
  </w:style>
  <w:style w:type="character" w:customStyle="1" w:styleId="20">
    <w:name w:val="Заголовок 2 Знак"/>
    <w:link w:val="2"/>
    <w:semiHidden/>
    <w:rsid w:val="00C271E6"/>
    <w:rPr>
      <w:rFonts w:ascii="Times New Roman" w:eastAsia="Times New Roman" w:hAnsi="Times New Roman"/>
      <w:sz w:val="24"/>
      <w:szCs w:val="24"/>
      <w:lang w:eastAsia="ve-ZA"/>
    </w:rPr>
  </w:style>
  <w:style w:type="character" w:customStyle="1" w:styleId="30">
    <w:name w:val="Заголовок 3 Знак"/>
    <w:link w:val="3"/>
    <w:uiPriority w:val="9"/>
    <w:semiHidden/>
    <w:rsid w:val="00C271E6"/>
    <w:rPr>
      <w:rFonts w:ascii="Cambria" w:eastAsia="Times New Roman" w:hAnsi="Cambria"/>
      <w:b/>
      <w:bCs/>
      <w:color w:val="4F81BD"/>
    </w:rPr>
  </w:style>
  <w:style w:type="character" w:styleId="a3">
    <w:name w:val="Strong"/>
    <w:uiPriority w:val="22"/>
    <w:qFormat/>
    <w:rsid w:val="00C271E6"/>
    <w:rPr>
      <w:b/>
      <w:bCs/>
    </w:rPr>
  </w:style>
  <w:style w:type="paragraph" w:styleId="a4">
    <w:name w:val="No Spacing"/>
    <w:uiPriority w:val="1"/>
    <w:qFormat/>
    <w:rsid w:val="00C271E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271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1F"/>
    <w:rPr>
      <w:sz w:val="22"/>
      <w:szCs w:val="22"/>
      <w:lang w:eastAsia="ve-ZA"/>
    </w:rPr>
  </w:style>
  <w:style w:type="paragraph" w:styleId="a8">
    <w:name w:val="Normal (Web)"/>
    <w:basedOn w:val="a"/>
    <w:uiPriority w:val="99"/>
    <w:unhideWhenUsed/>
    <w:rsid w:val="007C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AA14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A09E4"/>
    <w:rPr>
      <w:color w:val="0000FF"/>
      <w:u w:val="single"/>
    </w:rPr>
  </w:style>
  <w:style w:type="character" w:customStyle="1" w:styleId="articlepages">
    <w:name w:val="article_pages"/>
    <w:basedOn w:val="a0"/>
    <w:rsid w:val="004A09E4"/>
  </w:style>
  <w:style w:type="paragraph" w:customStyle="1" w:styleId="11">
    <w:name w:val="Абзац списка1"/>
    <w:basedOn w:val="a"/>
    <w:rsid w:val="00B35E2B"/>
    <w:pPr>
      <w:suppressAutoHyphens/>
      <w:spacing w:after="160" w:line="252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DE0"/>
    <w:rPr>
      <w:sz w:val="22"/>
      <w:szCs w:val="22"/>
      <w:lang w:eastAsia="ve-ZA"/>
    </w:rPr>
  </w:style>
  <w:style w:type="paragraph" w:styleId="ad">
    <w:name w:val="Balloon Text"/>
    <w:basedOn w:val="a"/>
    <w:link w:val="ae"/>
    <w:uiPriority w:val="99"/>
    <w:semiHidden/>
    <w:unhideWhenUsed/>
    <w:rsid w:val="004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1F0"/>
    <w:rPr>
      <w:rFonts w:ascii="Tahoma" w:hAnsi="Tahoma" w:cs="Tahoma"/>
      <w:sz w:val="16"/>
      <w:szCs w:val="16"/>
      <w:lang w:eastAsia="ve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mj.ru/authors/unanyan_a_l/" TargetMode="External"/><Relationship Id="rId18" Type="http://schemas.openxmlformats.org/officeDocument/2006/relationships/hyperlink" Target="https://istina.msu.ru/journals/9542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istina.msu.ru/workers/570647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tina.msu.ru/workers/6015332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istina.msu.ru/workers/11096544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rmj.ru/archive/akusherstvo-ginekologiya-15-2017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rmj.ru/archive/akusherstvo-ginekologiya-15-2017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9893D-F4F3-4FCB-945C-242208B5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12161</Words>
  <Characters>69322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2018-08-02T08:36:00Z</cp:lastPrinted>
  <dcterms:created xsi:type="dcterms:W3CDTF">2018-08-02T11:47:00Z</dcterms:created>
  <dcterms:modified xsi:type="dcterms:W3CDTF">2018-08-02T11:47:00Z</dcterms:modified>
</cp:coreProperties>
</file>